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1AA" w:rsidRDefault="00DC51AA" w:rsidP="00CD3594">
      <w:pPr>
        <w:rPr>
          <w:rFonts w:ascii="宋体" w:hAnsi="宋体" w:hint="eastAsia"/>
          <w:color w:val="000000"/>
          <w:sz w:val="36"/>
        </w:rPr>
      </w:pPr>
      <w:bookmarkStart w:id="0" w:name="_GoBack"/>
      <w:bookmarkEnd w:id="0"/>
      <w:r>
        <w:rPr>
          <w:rFonts w:ascii="宋体" w:hAnsi="宋体" w:hint="eastAsia"/>
          <w:color w:val="000000"/>
          <w:sz w:val="36"/>
        </w:rPr>
        <w:t xml:space="preserve"> “</w:t>
      </w:r>
      <w:r w:rsidRPr="00DA67B2">
        <w:rPr>
          <w:rFonts w:ascii="宋体" w:hAnsi="宋体"/>
          <w:noProof/>
          <w:color w:val="000000"/>
          <w:sz w:val="36"/>
        </w:rPr>
        <w:t>汇富合赢A22001</w:t>
      </w:r>
      <w:r>
        <w:rPr>
          <w:rFonts w:ascii="宋体" w:hAnsi="宋体" w:hint="eastAsia"/>
          <w:color w:val="000000"/>
          <w:sz w:val="36"/>
        </w:rPr>
        <w:t>”期人民币理财产品</w:t>
      </w:r>
      <w:r>
        <w:rPr>
          <w:rFonts w:ascii="宋体" w:hAnsi="宋体"/>
          <w:color w:val="000000"/>
          <w:sz w:val="36"/>
        </w:rPr>
        <w:t>说明书</w:t>
      </w:r>
    </w:p>
    <w:p w:rsidR="00DC51AA" w:rsidRDefault="00DC51AA">
      <w:pPr>
        <w:pStyle w:val="a7"/>
        <w:widowControl w:val="0"/>
        <w:snapToGrid w:val="0"/>
        <w:spacing w:before="0" w:after="0" w:line="240" w:lineRule="auto"/>
        <w:ind w:firstLine="0"/>
        <w:jc w:val="center"/>
        <w:rPr>
          <w:rFonts w:ascii="黑体" w:eastAsia="黑体" w:hAnsi="宋体" w:hint="eastAsia"/>
          <w:lang w:val="en-US" w:eastAsia="zh-CN"/>
        </w:rPr>
      </w:pPr>
      <w:r>
        <w:rPr>
          <w:rFonts w:ascii="黑体" w:eastAsia="黑体" w:hAnsi="宋体" w:hint="eastAsia"/>
          <w:lang w:val="en-US" w:eastAsia="zh-CN"/>
        </w:rPr>
        <w:t xml:space="preserve"> “理财非存款、产品有风险、投资须谨慎”！</w:t>
      </w:r>
    </w:p>
    <w:p w:rsidR="00DC51AA" w:rsidRDefault="00DC51AA" w:rsidP="00292BE8">
      <w:pPr>
        <w:pStyle w:val="a7"/>
        <w:widowControl w:val="0"/>
        <w:snapToGrid w:val="0"/>
        <w:spacing w:before="0" w:after="0" w:line="240" w:lineRule="auto"/>
        <w:ind w:firstLineChars="200" w:firstLine="482"/>
        <w:jc w:val="both"/>
        <w:rPr>
          <w:rFonts w:ascii="宋体" w:hAnsi="宋体" w:hint="eastAsia"/>
          <w:b/>
          <w:lang w:val="en-US" w:eastAsia="zh-CN"/>
        </w:rPr>
      </w:pPr>
      <w:r>
        <w:rPr>
          <w:rFonts w:ascii="宋体" w:hAnsi="宋体" w:hint="eastAsia"/>
          <w:b/>
          <w:lang w:val="en-US" w:eastAsia="zh-CN"/>
        </w:rPr>
        <w:t>第一条  产品基本要素</w:t>
      </w:r>
    </w:p>
    <w:tbl>
      <w:tblPr>
        <w:tblW w:w="9050"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534"/>
      </w:tblGrid>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产品名称</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sidRPr="00DA67B2">
              <w:rPr>
                <w:rFonts w:ascii="宋体" w:hAnsi="宋体"/>
                <w:noProof/>
                <w:sz w:val="18"/>
                <w:szCs w:val="18"/>
              </w:rPr>
              <w:t>汇富合赢A22001</w:t>
            </w:r>
          </w:p>
        </w:tc>
      </w:tr>
      <w:tr w:rsidR="00DC51AA" w:rsidTr="0024045A">
        <w:trPr>
          <w:cantSplit/>
          <w:trHeight w:val="503"/>
          <w:jc w:val="center"/>
        </w:trPr>
        <w:tc>
          <w:tcPr>
            <w:tcW w:w="1516" w:type="dxa"/>
            <w:tcBorders>
              <w:top w:val="single" w:sz="4" w:space="0" w:color="auto"/>
              <w:left w:val="single" w:sz="4" w:space="0" w:color="auto"/>
              <w:right w:val="single" w:sz="4" w:space="0" w:color="auto"/>
            </w:tcBorders>
            <w:vAlign w:val="center"/>
          </w:tcPr>
          <w:p w:rsidR="00DC51AA" w:rsidRPr="00600CAB" w:rsidRDefault="00DC51AA" w:rsidP="00ED20BA">
            <w:pPr>
              <w:rPr>
                <w:rFonts w:ascii="宋体" w:hAnsi="宋体" w:hint="eastAsia"/>
                <w:b/>
                <w:sz w:val="18"/>
                <w:szCs w:val="18"/>
              </w:rPr>
            </w:pPr>
            <w:r w:rsidRPr="00600CAB">
              <w:rPr>
                <w:rFonts w:ascii="宋体" w:hAnsi="宋体" w:hint="eastAsia"/>
                <w:b/>
                <w:sz w:val="18"/>
                <w:szCs w:val="18"/>
              </w:rPr>
              <w:t>中国</w:t>
            </w:r>
            <w:r w:rsidRPr="00600CAB">
              <w:rPr>
                <w:rFonts w:ascii="宋体" w:hAnsi="宋体"/>
                <w:b/>
                <w:sz w:val="18"/>
                <w:szCs w:val="18"/>
              </w:rPr>
              <w:t>理财网产品登记编码</w:t>
            </w:r>
          </w:p>
        </w:tc>
        <w:tc>
          <w:tcPr>
            <w:tcW w:w="7534" w:type="dxa"/>
            <w:tcBorders>
              <w:top w:val="single" w:sz="4" w:space="0" w:color="auto"/>
              <w:left w:val="single" w:sz="4" w:space="0" w:color="auto"/>
              <w:right w:val="single" w:sz="4" w:space="0" w:color="auto"/>
            </w:tcBorders>
            <w:vAlign w:val="center"/>
          </w:tcPr>
          <w:p w:rsidR="00DC51AA" w:rsidRPr="00600CAB" w:rsidRDefault="00DC51AA" w:rsidP="007E2BB8">
            <w:pPr>
              <w:rPr>
                <w:rFonts w:ascii="宋体" w:hAnsi="宋体" w:hint="eastAsia"/>
                <w:b/>
                <w:sz w:val="18"/>
                <w:szCs w:val="18"/>
              </w:rPr>
            </w:pPr>
            <w:r w:rsidRPr="00DA67B2">
              <w:rPr>
                <w:rFonts w:ascii="宋体" w:hAnsi="宋体"/>
                <w:b/>
                <w:noProof/>
                <w:sz w:val="18"/>
                <w:szCs w:val="18"/>
              </w:rPr>
              <w:t>C1141022000001</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销售地区</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如皋农村商业银行各营业网点、网上银行</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产品类型</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9A14EC">
            <w:pPr>
              <w:rPr>
                <w:rFonts w:ascii="宋体" w:hAnsi="宋体" w:hint="eastAsia"/>
                <w:sz w:val="18"/>
                <w:szCs w:val="18"/>
              </w:rPr>
            </w:pPr>
            <w:r>
              <w:rPr>
                <w:rFonts w:ascii="宋体" w:hAnsi="宋体" w:hint="eastAsia"/>
                <w:sz w:val="18"/>
                <w:szCs w:val="18"/>
              </w:rPr>
              <w:t>封闭式</w:t>
            </w:r>
            <w:r>
              <w:rPr>
                <w:rFonts w:ascii="宋体" w:hAnsi="宋体"/>
                <w:sz w:val="18"/>
                <w:szCs w:val="18"/>
              </w:rPr>
              <w:t>、</w:t>
            </w:r>
            <w:r>
              <w:rPr>
                <w:rFonts w:ascii="宋体" w:hAnsi="宋体" w:hint="eastAsia"/>
                <w:sz w:val="18"/>
                <w:szCs w:val="18"/>
              </w:rPr>
              <w:t>固定收益类、净值型</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收益类型</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636CB3">
            <w:pPr>
              <w:rPr>
                <w:rFonts w:ascii="宋体" w:hAnsi="宋体" w:hint="eastAsia"/>
                <w:sz w:val="18"/>
                <w:szCs w:val="18"/>
              </w:rPr>
            </w:pPr>
            <w:r>
              <w:rPr>
                <w:rFonts w:ascii="宋体" w:hAnsi="宋体" w:hint="eastAsia"/>
                <w:sz w:val="18"/>
                <w:szCs w:val="18"/>
              </w:rPr>
              <w:t>非保本</w:t>
            </w:r>
            <w:r>
              <w:rPr>
                <w:rFonts w:ascii="宋体" w:hAnsi="宋体"/>
                <w:sz w:val="18"/>
                <w:szCs w:val="18"/>
              </w:rPr>
              <w:t>浮动收益型</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募集方式</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636CB3">
            <w:pPr>
              <w:rPr>
                <w:rFonts w:ascii="宋体" w:hAnsi="宋体" w:hint="eastAsia"/>
                <w:sz w:val="18"/>
                <w:szCs w:val="18"/>
              </w:rPr>
            </w:pPr>
            <w:r>
              <w:rPr>
                <w:rFonts w:ascii="宋体" w:hAnsi="宋体"/>
                <w:sz w:val="18"/>
                <w:szCs w:val="18"/>
              </w:rPr>
              <w:t>公募</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认购日期</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9259E4">
            <w:pPr>
              <w:rPr>
                <w:rFonts w:ascii="宋体" w:hAnsi="宋体" w:hint="eastAsia"/>
                <w:noProof/>
                <w:sz w:val="18"/>
                <w:szCs w:val="18"/>
              </w:rPr>
            </w:pPr>
            <w:r>
              <w:rPr>
                <w:rFonts w:ascii="宋体" w:hAnsi="宋体"/>
                <w:noProof/>
                <w:sz w:val="18"/>
                <w:szCs w:val="18"/>
              </w:rPr>
              <w:t>2022年01月01日</w:t>
            </w:r>
            <w:r>
              <w:rPr>
                <w:rFonts w:ascii="宋体" w:hAnsi="宋体" w:hint="eastAsia"/>
                <w:sz w:val="18"/>
                <w:szCs w:val="18"/>
              </w:rPr>
              <w:t>-</w:t>
            </w:r>
            <w:r>
              <w:rPr>
                <w:rFonts w:ascii="宋体" w:hAnsi="宋体"/>
                <w:noProof/>
                <w:sz w:val="18"/>
                <w:szCs w:val="18"/>
              </w:rPr>
              <w:t>2022年01月06日</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理财期限</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sidRPr="00DA67B2">
              <w:rPr>
                <w:rFonts w:ascii="宋体" w:hAnsi="宋体"/>
                <w:noProof/>
                <w:sz w:val="18"/>
                <w:szCs w:val="18"/>
              </w:rPr>
              <w:t>123</w:t>
            </w:r>
            <w:r>
              <w:rPr>
                <w:rFonts w:ascii="宋体" w:hAnsi="宋体" w:hint="eastAsia"/>
                <w:sz w:val="18"/>
                <w:szCs w:val="18"/>
              </w:rPr>
              <w:t>天</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预计计算投资收益起始日</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3A5995">
            <w:pPr>
              <w:rPr>
                <w:rFonts w:ascii="宋体" w:hAnsi="宋体" w:hint="eastAsia"/>
                <w:sz w:val="18"/>
                <w:szCs w:val="18"/>
              </w:rPr>
            </w:pPr>
            <w:r>
              <w:rPr>
                <w:rFonts w:ascii="宋体" w:hAnsi="宋体"/>
                <w:noProof/>
                <w:sz w:val="18"/>
                <w:szCs w:val="18"/>
              </w:rPr>
              <w:t>2022年01月07日</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名义到期日</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noProof/>
                <w:sz w:val="18"/>
                <w:szCs w:val="18"/>
              </w:rPr>
              <w:t>2022年05月10日</w:t>
            </w:r>
          </w:p>
        </w:tc>
      </w:tr>
      <w:tr w:rsidR="00DC51AA" w:rsidTr="0024045A">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实际到期日</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noProof/>
                <w:sz w:val="18"/>
                <w:szCs w:val="18"/>
              </w:rPr>
              <w:t>2022年05月11日</w:t>
            </w:r>
          </w:p>
        </w:tc>
      </w:tr>
      <w:tr w:rsidR="00DC51AA" w:rsidTr="0024045A">
        <w:trPr>
          <w:cantSplit/>
          <w:trHeight w:val="503"/>
          <w:jc w:val="center"/>
        </w:trPr>
        <w:tc>
          <w:tcPr>
            <w:tcW w:w="1516" w:type="dxa"/>
            <w:tcBorders>
              <w:top w:val="single" w:sz="4" w:space="0" w:color="auto"/>
              <w:left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行内标识码/产品代号</w:t>
            </w:r>
          </w:p>
        </w:tc>
        <w:tc>
          <w:tcPr>
            <w:tcW w:w="7534" w:type="dxa"/>
            <w:tcBorders>
              <w:top w:val="single" w:sz="4" w:space="0" w:color="auto"/>
              <w:left w:val="single" w:sz="4" w:space="0" w:color="auto"/>
              <w:right w:val="single" w:sz="4" w:space="0" w:color="auto"/>
            </w:tcBorders>
            <w:vAlign w:val="center"/>
          </w:tcPr>
          <w:p w:rsidR="00DC51AA" w:rsidRDefault="00DC51AA">
            <w:pPr>
              <w:rPr>
                <w:rFonts w:ascii="宋体" w:hAnsi="宋体" w:hint="eastAsia"/>
                <w:sz w:val="18"/>
                <w:szCs w:val="18"/>
              </w:rPr>
            </w:pPr>
            <w:r w:rsidRPr="00DA67B2">
              <w:rPr>
                <w:rFonts w:ascii="宋体" w:hAnsi="宋体"/>
                <w:noProof/>
                <w:sz w:val="18"/>
                <w:szCs w:val="18"/>
              </w:rPr>
              <w:t>HFHYA22001</w:t>
            </w:r>
          </w:p>
        </w:tc>
      </w:tr>
      <w:tr w:rsidR="00DC51AA" w:rsidTr="0024045A">
        <w:trPr>
          <w:cantSplit/>
          <w:trHeight w:val="503"/>
          <w:jc w:val="center"/>
        </w:trPr>
        <w:tc>
          <w:tcPr>
            <w:tcW w:w="1516" w:type="dxa"/>
            <w:tcBorders>
              <w:top w:val="single" w:sz="4" w:space="0" w:color="auto"/>
              <w:left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投资起点金额</w:t>
            </w:r>
          </w:p>
        </w:tc>
        <w:tc>
          <w:tcPr>
            <w:tcW w:w="7534" w:type="dxa"/>
            <w:tcBorders>
              <w:top w:val="single" w:sz="4" w:space="0" w:color="auto"/>
              <w:left w:val="single" w:sz="4" w:space="0" w:color="auto"/>
              <w:right w:val="single" w:sz="4" w:space="0" w:color="auto"/>
            </w:tcBorders>
            <w:vAlign w:val="center"/>
          </w:tcPr>
          <w:p w:rsidR="00DC51AA" w:rsidRDefault="00DC51AA">
            <w:pPr>
              <w:rPr>
                <w:rFonts w:ascii="宋体" w:hAnsi="宋体" w:hint="eastAsia"/>
                <w:sz w:val="18"/>
                <w:szCs w:val="18"/>
              </w:rPr>
            </w:pPr>
            <w:r w:rsidRPr="00636CB3">
              <w:rPr>
                <w:rFonts w:ascii="宋体" w:hAnsi="宋体" w:hint="eastAsia"/>
                <w:sz w:val="18"/>
                <w:szCs w:val="18"/>
              </w:rPr>
              <w:t>1元人民币为1份，认购起点份额为1万份，超过认购起点份额部分，应为1千份的整数倍。</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sidRPr="00636CB3">
              <w:rPr>
                <w:rFonts w:ascii="宋体" w:hAnsi="宋体" w:hint="eastAsia"/>
                <w:sz w:val="18"/>
                <w:szCs w:val="18"/>
              </w:rPr>
              <w:t>业绩比较基准</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636CB3">
            <w:pPr>
              <w:rPr>
                <w:rFonts w:ascii="宋体" w:hAnsi="宋体" w:hint="eastAsia"/>
                <w:sz w:val="18"/>
                <w:szCs w:val="18"/>
              </w:rPr>
            </w:pPr>
            <w:r w:rsidRPr="00DA67B2">
              <w:rPr>
                <w:rFonts w:ascii="宋体" w:hAnsi="宋体"/>
                <w:noProof/>
                <w:sz w:val="18"/>
                <w:szCs w:val="18"/>
              </w:rPr>
              <w:t>3.40%</w:t>
            </w:r>
            <w:r w:rsidRPr="00636CB3">
              <w:rPr>
                <w:rFonts w:ascii="宋体" w:hAnsi="宋体" w:hint="eastAsia"/>
                <w:sz w:val="18"/>
                <w:szCs w:val="18"/>
              </w:rPr>
              <w:t>/年，本产品为净值型产品，业绩表现将随市场波动，具有不确定性。该业绩比较基准仅作为计算浮动管理费的依据，不构成如皋农村商业银行的任何收益承诺。</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Pr="00636CB3" w:rsidRDefault="00DC51AA">
            <w:pPr>
              <w:rPr>
                <w:rFonts w:ascii="宋体" w:hAnsi="宋体" w:hint="eastAsia"/>
                <w:sz w:val="18"/>
                <w:szCs w:val="18"/>
              </w:rPr>
            </w:pPr>
            <w:r>
              <w:rPr>
                <w:rFonts w:ascii="宋体" w:hAnsi="宋体" w:hint="eastAsia"/>
                <w:sz w:val="18"/>
                <w:szCs w:val="18"/>
              </w:rPr>
              <w:t>固定管理费</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320E87">
            <w:pPr>
              <w:rPr>
                <w:rFonts w:ascii="宋体" w:hAnsi="宋体" w:hint="eastAsia"/>
                <w:sz w:val="18"/>
                <w:szCs w:val="18"/>
              </w:rPr>
            </w:pPr>
            <w:r>
              <w:rPr>
                <w:rFonts w:ascii="宋体" w:hAnsi="宋体"/>
                <w:sz w:val="18"/>
                <w:szCs w:val="18"/>
              </w:rPr>
              <w:t>0.30%/</w:t>
            </w:r>
            <w:r>
              <w:rPr>
                <w:rFonts w:ascii="宋体" w:hAnsi="宋体" w:hint="eastAsia"/>
                <w:sz w:val="18"/>
                <w:szCs w:val="18"/>
              </w:rPr>
              <w:t>年</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浮动管理费</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24045A">
            <w:pPr>
              <w:rPr>
                <w:rFonts w:ascii="宋体" w:hAnsi="宋体" w:hint="eastAsia"/>
                <w:sz w:val="18"/>
                <w:szCs w:val="18"/>
              </w:rPr>
            </w:pPr>
            <w:r w:rsidRPr="00636CB3">
              <w:rPr>
                <w:rFonts w:ascii="宋体" w:hAnsi="宋体" w:hint="eastAsia"/>
                <w:sz w:val="18"/>
                <w:szCs w:val="18"/>
              </w:rPr>
              <w:t>产品扣除固定管理费、托管费、相关税费后年化收益率未超过业绩比较基准，不收取浮动管理费。年化收益率超过业绩比较基准的，超过</w:t>
            </w:r>
            <w:r>
              <w:rPr>
                <w:rFonts w:ascii="宋体" w:hAnsi="宋体" w:hint="eastAsia"/>
                <w:sz w:val="18"/>
                <w:szCs w:val="18"/>
              </w:rPr>
              <w:t>部分全部</w:t>
            </w:r>
            <w:r w:rsidRPr="00636CB3">
              <w:rPr>
                <w:rFonts w:ascii="宋体" w:hAnsi="宋体" w:hint="eastAsia"/>
                <w:sz w:val="18"/>
                <w:szCs w:val="18"/>
              </w:rPr>
              <w:t>由管理人收取。</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产品</w:t>
            </w:r>
            <w:r>
              <w:rPr>
                <w:rFonts w:ascii="宋体" w:hAnsi="宋体"/>
                <w:sz w:val="18"/>
                <w:szCs w:val="18"/>
              </w:rPr>
              <w:t>净值</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Pr="00636CB3" w:rsidRDefault="00DC51AA" w:rsidP="00636CB3">
            <w:pPr>
              <w:rPr>
                <w:rFonts w:ascii="宋体" w:hAnsi="宋体" w:hint="eastAsia"/>
                <w:sz w:val="18"/>
                <w:szCs w:val="18"/>
              </w:rPr>
            </w:pPr>
            <w:r w:rsidRPr="00636CB3">
              <w:rPr>
                <w:rFonts w:ascii="宋体" w:hAnsi="宋体" w:hint="eastAsia"/>
                <w:sz w:val="18"/>
                <w:szCs w:val="18"/>
              </w:rPr>
              <w:t>每份产品初始单位净值为1，产品成立后本行将按规定</w:t>
            </w:r>
            <w:r>
              <w:rPr>
                <w:rFonts w:ascii="宋体" w:hAnsi="宋体" w:hint="eastAsia"/>
                <w:sz w:val="18"/>
                <w:szCs w:val="18"/>
              </w:rPr>
              <w:t>在</w:t>
            </w:r>
            <w:r>
              <w:rPr>
                <w:rFonts w:ascii="宋体" w:hAnsi="宋体"/>
                <w:sz w:val="18"/>
                <w:szCs w:val="18"/>
              </w:rPr>
              <w:t>官网（</w:t>
            </w:r>
            <w:r w:rsidRPr="00207254">
              <w:rPr>
                <w:rFonts w:ascii="宋体" w:hAnsi="宋体"/>
                <w:sz w:val="18"/>
                <w:szCs w:val="18"/>
              </w:rPr>
              <w:t>http://www.rgrcb.com/</w:t>
            </w:r>
            <w:r>
              <w:rPr>
                <w:rFonts w:ascii="宋体" w:hAnsi="宋体"/>
                <w:sz w:val="18"/>
                <w:szCs w:val="18"/>
              </w:rPr>
              <w:t>）</w:t>
            </w:r>
            <w:r w:rsidRPr="00636CB3">
              <w:rPr>
                <w:rFonts w:ascii="宋体" w:hAnsi="宋体" w:hint="eastAsia"/>
                <w:sz w:val="18"/>
                <w:szCs w:val="18"/>
              </w:rPr>
              <w:t>披露产品净值，并于到期公告披露产品最终净值。</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托管费</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Pr="00636CB3" w:rsidRDefault="00DC51AA" w:rsidP="00636CB3">
            <w:pPr>
              <w:rPr>
                <w:rFonts w:ascii="宋体" w:hAnsi="宋体" w:hint="eastAsia"/>
                <w:sz w:val="18"/>
                <w:szCs w:val="18"/>
              </w:rPr>
            </w:pPr>
            <w:r>
              <w:rPr>
                <w:rFonts w:ascii="宋体" w:hAnsi="宋体" w:hint="eastAsia"/>
                <w:sz w:val="18"/>
                <w:szCs w:val="18"/>
              </w:rPr>
              <w:t>0.02</w:t>
            </w:r>
            <w:r>
              <w:rPr>
                <w:rFonts w:ascii="宋体" w:hAnsi="宋体"/>
                <w:sz w:val="18"/>
                <w:szCs w:val="18"/>
              </w:rPr>
              <w:t>%/</w:t>
            </w:r>
            <w:r>
              <w:rPr>
                <w:rFonts w:ascii="宋体" w:hAnsi="宋体" w:hint="eastAsia"/>
                <w:sz w:val="18"/>
                <w:szCs w:val="18"/>
              </w:rPr>
              <w:t>年</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估值</w:t>
            </w:r>
            <w:r>
              <w:rPr>
                <w:rFonts w:ascii="宋体" w:hAnsi="宋体"/>
                <w:sz w:val="18"/>
                <w:szCs w:val="18"/>
              </w:rPr>
              <w:t>外包费</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636CB3">
            <w:pPr>
              <w:rPr>
                <w:rFonts w:ascii="宋体" w:hAnsi="宋体" w:hint="eastAsia"/>
                <w:sz w:val="18"/>
                <w:szCs w:val="18"/>
              </w:rPr>
            </w:pPr>
            <w:r>
              <w:rPr>
                <w:rFonts w:ascii="宋体" w:hAnsi="宋体" w:hint="eastAsia"/>
                <w:sz w:val="18"/>
                <w:szCs w:val="18"/>
              </w:rPr>
              <w:t>0.01</w:t>
            </w:r>
            <w:r>
              <w:rPr>
                <w:rFonts w:ascii="宋体" w:hAnsi="宋体"/>
                <w:sz w:val="18"/>
                <w:szCs w:val="18"/>
              </w:rPr>
              <w:t>%/</w:t>
            </w:r>
            <w:r>
              <w:rPr>
                <w:rFonts w:ascii="宋体" w:hAnsi="宋体" w:hint="eastAsia"/>
                <w:sz w:val="18"/>
                <w:szCs w:val="18"/>
              </w:rPr>
              <w:t>年</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收益计算基础</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pStyle w:val="Default"/>
              <w:autoSpaceDE/>
              <w:autoSpaceDN/>
              <w:adjustRightInd/>
              <w:jc w:val="both"/>
              <w:rPr>
                <w:rFonts w:ascii="宋体" w:eastAsia="宋体" w:hAnsi="宋体" w:hint="eastAsia"/>
                <w:color w:val="auto"/>
                <w:kern w:val="2"/>
                <w:sz w:val="18"/>
                <w:szCs w:val="18"/>
              </w:rPr>
            </w:pPr>
            <w:r>
              <w:rPr>
                <w:rFonts w:ascii="宋体" w:eastAsia="宋体" w:hAnsi="宋体" w:hint="eastAsia"/>
                <w:color w:val="auto"/>
                <w:kern w:val="2"/>
                <w:sz w:val="18"/>
                <w:szCs w:val="18"/>
              </w:rPr>
              <w:t>实际投资运行天数/365</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发行规模上限</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sidRPr="00636CB3">
              <w:rPr>
                <w:rFonts w:ascii="宋体" w:hAnsi="宋体" w:hint="eastAsia"/>
                <w:sz w:val="18"/>
                <w:szCs w:val="18"/>
              </w:rPr>
              <w:t>10000万份</w:t>
            </w:r>
          </w:p>
        </w:tc>
      </w:tr>
      <w:tr w:rsidR="00DC51AA"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理财币种</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人民币</w:t>
            </w:r>
          </w:p>
        </w:tc>
      </w:tr>
      <w:tr w:rsidR="00DC51AA" w:rsidRPr="00B00645" w:rsidTr="0024045A">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发行对象</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C43334">
            <w:pPr>
              <w:rPr>
                <w:rFonts w:ascii="宋体" w:hAnsi="宋体" w:hint="eastAsia"/>
                <w:sz w:val="18"/>
                <w:szCs w:val="18"/>
              </w:rPr>
            </w:pPr>
            <w:r w:rsidRPr="00636CB3">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有一定投资经验的</w:t>
            </w:r>
            <w:r>
              <w:rPr>
                <w:rFonts w:ascii="宋体" w:hAnsi="宋体" w:hint="eastAsia"/>
                <w:sz w:val="18"/>
                <w:szCs w:val="18"/>
              </w:rPr>
              <w:t>不特定社会</w:t>
            </w:r>
            <w:r>
              <w:rPr>
                <w:rFonts w:ascii="宋体" w:hAnsi="宋体"/>
                <w:sz w:val="18"/>
                <w:szCs w:val="18"/>
              </w:rPr>
              <w:t>公众及合格投资者</w:t>
            </w:r>
            <w:r w:rsidRPr="00636CB3">
              <w:rPr>
                <w:rFonts w:ascii="宋体" w:hAnsi="宋体" w:hint="eastAsia"/>
                <w:sz w:val="18"/>
                <w:szCs w:val="18"/>
              </w:rPr>
              <w:t>。</w:t>
            </w:r>
          </w:p>
        </w:tc>
      </w:tr>
      <w:tr w:rsidR="00DC51AA" w:rsidTr="0024045A">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收益支付方式</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pPr>
              <w:rPr>
                <w:rFonts w:ascii="宋体" w:hAnsi="宋体" w:hint="eastAsia"/>
                <w:sz w:val="18"/>
                <w:szCs w:val="18"/>
              </w:rPr>
            </w:pPr>
            <w:r>
              <w:rPr>
                <w:rFonts w:ascii="宋体" w:hAnsi="宋体" w:hint="eastAsia"/>
                <w:sz w:val="18"/>
                <w:szCs w:val="18"/>
              </w:rPr>
              <w:t>存续期满，本金与收益一次性支付。</w:t>
            </w:r>
          </w:p>
        </w:tc>
      </w:tr>
      <w:tr w:rsidR="00DC51AA" w:rsidTr="0024045A">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t>投资范围及比例</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B00645">
            <w:pPr>
              <w:rPr>
                <w:rFonts w:ascii="宋体" w:hAnsi="宋体" w:cs="仿宋_GB2312"/>
                <w:color w:val="000000"/>
                <w:kern w:val="0"/>
                <w:sz w:val="18"/>
                <w:szCs w:val="18"/>
              </w:rPr>
            </w:pPr>
            <w:r w:rsidRPr="00636CB3">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信托计划以及其他符合监管要求的资产。其中，固定收益类资产不低于80%。</w:t>
            </w:r>
          </w:p>
        </w:tc>
      </w:tr>
      <w:tr w:rsidR="00DC51AA" w:rsidTr="0024045A">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t>风险事件说明</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DC51AA" w:rsidTr="0024045A">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t>理财资产托管人</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bCs/>
                <w:sz w:val="18"/>
                <w:szCs w:val="18"/>
              </w:rPr>
            </w:pPr>
            <w:r w:rsidRPr="00636CB3">
              <w:rPr>
                <w:rFonts w:ascii="宋体" w:hAnsi="宋体" w:hint="eastAsia"/>
                <w:bCs/>
                <w:sz w:val="18"/>
                <w:szCs w:val="18"/>
              </w:rPr>
              <w:t>杭州银行股份有限公司</w:t>
            </w:r>
          </w:p>
        </w:tc>
      </w:tr>
      <w:tr w:rsidR="00DC51AA" w:rsidTr="0024045A">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lastRenderedPageBreak/>
              <w:t>理财资产管理人/理财产品</w:t>
            </w:r>
            <w:r>
              <w:rPr>
                <w:rFonts w:ascii="宋体" w:hAnsi="宋体"/>
                <w:sz w:val="18"/>
                <w:szCs w:val="18"/>
              </w:rPr>
              <w:t>发行人</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bCs/>
                <w:sz w:val="18"/>
                <w:szCs w:val="18"/>
              </w:rPr>
            </w:pPr>
            <w:r>
              <w:rPr>
                <w:rFonts w:ascii="宋体" w:hAnsi="宋体" w:hint="eastAsia"/>
                <w:bCs/>
                <w:sz w:val="18"/>
                <w:szCs w:val="18"/>
              </w:rPr>
              <w:t>江苏如皋农村商业银行股份有限公司</w:t>
            </w:r>
          </w:p>
        </w:tc>
      </w:tr>
      <w:tr w:rsidR="00DC51AA" w:rsidTr="0024045A">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t>提前终止条款</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DC51AA" w:rsidTr="0024045A">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t>税务处理</w:t>
            </w:r>
          </w:p>
        </w:tc>
        <w:tc>
          <w:tcPr>
            <w:tcW w:w="7534" w:type="dxa"/>
            <w:tcBorders>
              <w:top w:val="single" w:sz="4" w:space="0" w:color="auto"/>
              <w:left w:val="single" w:sz="4" w:space="0" w:color="auto"/>
              <w:bottom w:val="single" w:sz="4" w:space="0" w:color="auto"/>
              <w:right w:val="single" w:sz="4" w:space="0" w:color="auto"/>
            </w:tcBorders>
            <w:vAlign w:val="center"/>
          </w:tcPr>
          <w:p w:rsidR="00DC51AA" w:rsidRDefault="00DC51AA" w:rsidP="00B573F1">
            <w:pPr>
              <w:rPr>
                <w:rFonts w:ascii="宋体" w:hAnsi="宋体" w:hint="eastAsia"/>
                <w:sz w:val="18"/>
                <w:szCs w:val="18"/>
              </w:rPr>
            </w:pPr>
            <w:r>
              <w:rPr>
                <w:rFonts w:ascii="宋体" w:hAnsi="宋体" w:hint="eastAsia"/>
                <w:sz w:val="18"/>
                <w:szCs w:val="18"/>
              </w:rPr>
              <w:t>银行不代扣代缴，但法律法规另有规定除外。</w:t>
            </w:r>
          </w:p>
        </w:tc>
      </w:tr>
    </w:tbl>
    <w:p w:rsidR="00DC51AA" w:rsidRPr="003D001A" w:rsidRDefault="00DC51AA" w:rsidP="00636CB3">
      <w:pPr>
        <w:ind w:firstLineChars="200" w:firstLine="422"/>
        <w:rPr>
          <w:rFonts w:ascii="宋体" w:hAnsi="宋体"/>
          <w:b/>
        </w:rPr>
      </w:pPr>
      <w:r w:rsidRPr="003D001A">
        <w:rPr>
          <w:rFonts w:ascii="宋体" w:hAnsi="宋体" w:hint="eastAsia"/>
          <w:b/>
        </w:rPr>
        <w:t>特别</w:t>
      </w:r>
      <w:r w:rsidRPr="003D001A">
        <w:rPr>
          <w:rFonts w:ascii="宋体" w:hAnsi="宋体"/>
          <w:b/>
        </w:rPr>
        <w:t>说明：</w:t>
      </w:r>
      <w:r w:rsidRPr="003D001A">
        <w:rPr>
          <w:rFonts w:ascii="宋体" w:hAnsi="宋体" w:hint="eastAsia"/>
          <w:b/>
        </w:rPr>
        <w:t>业绩比较基准</w:t>
      </w:r>
      <w:r>
        <w:rPr>
          <w:rFonts w:ascii="宋体" w:hAnsi="宋体" w:hint="eastAsia"/>
          <w:b/>
        </w:rPr>
        <w:t>仅</w:t>
      </w:r>
      <w:r>
        <w:rPr>
          <w:rFonts w:ascii="宋体" w:hAnsi="宋体"/>
          <w:b/>
        </w:rPr>
        <w:t>代表过往业绩，不代表</w:t>
      </w:r>
      <w:r>
        <w:rPr>
          <w:rFonts w:ascii="宋体" w:hAnsi="宋体" w:hint="eastAsia"/>
          <w:b/>
        </w:rPr>
        <w:t>其</w:t>
      </w:r>
      <w:r>
        <w:rPr>
          <w:rFonts w:ascii="宋体" w:hAnsi="宋体"/>
          <w:b/>
        </w:rPr>
        <w:t>未来表现，</w:t>
      </w:r>
      <w:r w:rsidRPr="003D001A">
        <w:rPr>
          <w:rFonts w:ascii="宋体" w:hAnsi="宋体" w:hint="eastAsia"/>
          <w:b/>
        </w:rPr>
        <w:t>不等于</w:t>
      </w:r>
      <w:r>
        <w:rPr>
          <w:rFonts w:ascii="宋体" w:hAnsi="宋体" w:hint="eastAsia"/>
          <w:b/>
        </w:rPr>
        <w:t>理财产品</w:t>
      </w:r>
      <w:r w:rsidRPr="003D001A">
        <w:rPr>
          <w:rFonts w:ascii="宋体" w:hAnsi="宋体" w:hint="eastAsia"/>
          <w:b/>
        </w:rPr>
        <w:t>实际收益，投资须谨慎。</w:t>
      </w:r>
    </w:p>
    <w:p w:rsidR="00DC51AA" w:rsidRPr="003D001A" w:rsidRDefault="00DC51AA" w:rsidP="00636CB3">
      <w:pPr>
        <w:pStyle w:val="a7"/>
        <w:widowControl w:val="0"/>
        <w:snapToGrid w:val="0"/>
        <w:spacing w:before="0" w:after="0" w:line="240" w:lineRule="auto"/>
        <w:ind w:firstLineChars="200" w:firstLine="482"/>
        <w:jc w:val="both"/>
        <w:rPr>
          <w:rFonts w:ascii="宋体" w:hAnsi="宋体"/>
          <w:b/>
          <w:color w:val="auto"/>
        </w:rPr>
      </w:pPr>
      <w:r w:rsidRPr="003D001A">
        <w:rPr>
          <w:rFonts w:ascii="宋体" w:hAnsi="宋体" w:hint="eastAsia"/>
          <w:b/>
          <w:color w:val="auto"/>
        </w:rPr>
        <w:t>第二条  名词释义</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（一）发行期：是指银行确定的接受投资人认购本理财产品的起止期限。</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（二）提前终止权：是指在本理财产品存续期内，银行或投资人单方面决定全部提前终止本理财产品的权利。</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（三）提前终止权行使日：是指银行或投资人行使提前终止权的日期，也即本理财产品被提前终止、开始停止计算收益的日期。</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（四）认购日：是指投资人认购本理财产品的日期。</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（五）计算投资收益起始日：是指计算本理财产品收益的起始日期，也即本理财产品对应资产开始运作的日期。</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（六）名义到期日：是指在银行未对本理财产品提前终止的情况下本理财产品的到期日期。</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（七）实际到期日：是指银行兑付本金及收益的日期。</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（八）理财期限：是指自计算投资收益起始日至名义到期日之间的投资期限。</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（九）工作日：是指除国家法定节假日和休息日外的日期。</w:t>
      </w:r>
    </w:p>
    <w:p w:rsidR="00DC51AA" w:rsidRPr="003D001A" w:rsidRDefault="00DC51AA" w:rsidP="00636CB3">
      <w:pPr>
        <w:pStyle w:val="a7"/>
        <w:widowControl w:val="0"/>
        <w:snapToGrid w:val="0"/>
        <w:spacing w:before="0" w:after="0" w:line="240" w:lineRule="auto"/>
        <w:ind w:firstLineChars="200" w:firstLine="482"/>
        <w:jc w:val="both"/>
        <w:rPr>
          <w:rFonts w:ascii="宋体" w:hAnsi="宋体"/>
          <w:b/>
          <w:color w:val="auto"/>
        </w:rPr>
      </w:pPr>
      <w:r w:rsidRPr="003D001A">
        <w:rPr>
          <w:rFonts w:ascii="宋体" w:hAnsi="宋体" w:hint="eastAsia"/>
          <w:b/>
          <w:color w:val="auto"/>
        </w:rPr>
        <w:t xml:space="preserve">第三条  </w:t>
      </w:r>
      <w:r w:rsidRPr="003D001A">
        <w:rPr>
          <w:rFonts w:ascii="宋体" w:hAnsi="宋体" w:hint="eastAsia"/>
          <w:b/>
          <w:color w:val="auto"/>
          <w:spacing w:val="10"/>
        </w:rPr>
        <w:t>提前终止</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在理财期限内，银行根据投资情况有提前终止权，如发生以下事项时，银行可对本理财产品行使全部提前终止权：</w:t>
      </w:r>
    </w:p>
    <w:p w:rsidR="00DC51AA" w:rsidRPr="003D001A" w:rsidRDefault="00DC51AA" w:rsidP="00636CB3">
      <w:pPr>
        <w:ind w:firstLineChars="200" w:firstLine="460"/>
        <w:rPr>
          <w:rFonts w:ascii="宋体" w:hAnsi="宋体"/>
          <w:spacing w:val="10"/>
        </w:rPr>
      </w:pPr>
      <w:r w:rsidRPr="003D001A">
        <w:rPr>
          <w:rFonts w:ascii="宋体" w:hAnsi="宋体"/>
          <w:spacing w:val="10"/>
        </w:rPr>
        <w:t>1</w:t>
      </w:r>
      <w:r w:rsidRPr="003D001A">
        <w:rPr>
          <w:rFonts w:ascii="宋体" w:hAnsi="宋体" w:hint="eastAsia"/>
          <w:spacing w:val="10"/>
        </w:rPr>
        <w:t>、如因本理财产品资产运作模式等与法律法规、规章的规定或者监管部门的要求等存在冲突导致理财产品必须提前终止的；</w:t>
      </w:r>
    </w:p>
    <w:p w:rsidR="00DC51AA" w:rsidRPr="003D001A" w:rsidRDefault="00DC51AA" w:rsidP="00636CB3">
      <w:pPr>
        <w:ind w:firstLineChars="200" w:firstLine="460"/>
        <w:rPr>
          <w:rFonts w:ascii="宋体" w:hAnsi="宋体"/>
          <w:spacing w:val="10"/>
        </w:rPr>
      </w:pPr>
      <w:r w:rsidRPr="003D001A">
        <w:rPr>
          <w:rFonts w:ascii="宋体" w:hAnsi="宋体"/>
          <w:spacing w:val="10"/>
        </w:rPr>
        <w:t>2</w:t>
      </w:r>
      <w:r w:rsidRPr="003D001A">
        <w:rPr>
          <w:rFonts w:ascii="宋体" w:hAnsi="宋体" w:hint="eastAsia"/>
          <w:spacing w:val="10"/>
        </w:rPr>
        <w:t>、国家有关法律、法规、规章、政策的改变、紧急措施的出台、理财市场环境发生重大变化等导致理财产品必须提前终止的；</w:t>
      </w:r>
    </w:p>
    <w:p w:rsidR="00DC51AA" w:rsidRPr="003D001A" w:rsidRDefault="00DC51AA" w:rsidP="00636CB3">
      <w:pPr>
        <w:ind w:firstLineChars="200" w:firstLine="460"/>
        <w:rPr>
          <w:rFonts w:ascii="宋体" w:hAnsi="宋体"/>
          <w:spacing w:val="10"/>
        </w:rPr>
      </w:pPr>
      <w:r w:rsidRPr="003D001A">
        <w:rPr>
          <w:rFonts w:ascii="宋体" w:hAnsi="宋体"/>
          <w:spacing w:val="10"/>
        </w:rPr>
        <w:t>3</w:t>
      </w:r>
      <w:r w:rsidRPr="003D001A">
        <w:rPr>
          <w:rFonts w:ascii="宋体" w:hAnsi="宋体" w:hint="eastAsia"/>
          <w:spacing w:val="10"/>
        </w:rPr>
        <w:t>、因地震、火灾、战争、罢工等不可抗力因素导致本理财产品必须提前终止的；</w:t>
      </w:r>
    </w:p>
    <w:p w:rsidR="00DC51AA" w:rsidRPr="003D001A" w:rsidRDefault="00DC51AA" w:rsidP="00636CB3">
      <w:pPr>
        <w:ind w:firstLineChars="200" w:firstLine="460"/>
        <w:rPr>
          <w:rFonts w:ascii="宋体" w:hAnsi="宋体"/>
          <w:spacing w:val="10"/>
        </w:rPr>
      </w:pPr>
      <w:r w:rsidRPr="003D001A">
        <w:rPr>
          <w:rFonts w:ascii="宋体" w:hAnsi="宋体"/>
          <w:spacing w:val="10"/>
        </w:rPr>
        <w:t>4</w:t>
      </w:r>
      <w:r w:rsidRPr="003D001A">
        <w:rPr>
          <w:rFonts w:ascii="宋体" w:hAnsi="宋体" w:hint="eastAsia"/>
          <w:spacing w:val="10"/>
        </w:rPr>
        <w:t>、银行认为应该提前终止本理财产品的其他情况。</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在理财期限内，银行根据投资情况有提前终止权，投资人无提前终止权,但如下情形除外：</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DC51AA" w:rsidRPr="003D001A" w:rsidRDefault="00DC51AA" w:rsidP="00636CB3">
      <w:pPr>
        <w:ind w:firstLineChars="200" w:firstLine="482"/>
        <w:rPr>
          <w:rFonts w:ascii="宋体" w:hAnsi="宋体"/>
          <w:spacing w:val="10"/>
          <w:sz w:val="24"/>
        </w:rPr>
      </w:pPr>
      <w:r w:rsidRPr="003D001A">
        <w:rPr>
          <w:rFonts w:ascii="宋体" w:hAnsi="宋体" w:hint="eastAsia"/>
          <w:b/>
          <w:sz w:val="24"/>
        </w:rPr>
        <w:t>第四条</w:t>
      </w:r>
      <w:r w:rsidRPr="003D001A">
        <w:rPr>
          <w:rFonts w:ascii="宋体" w:hAnsi="宋体"/>
          <w:b/>
          <w:sz w:val="24"/>
        </w:rPr>
        <w:t xml:space="preserve">  </w:t>
      </w:r>
      <w:r w:rsidRPr="003D001A">
        <w:rPr>
          <w:rFonts w:ascii="宋体" w:hAnsi="宋体" w:hint="eastAsia"/>
          <w:b/>
          <w:sz w:val="24"/>
        </w:rPr>
        <w:t>理财收益说明</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1、理财本金及收益风险</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（1）本说明书有关预期收益或业绩比较基准的表述不代表投资者到期获得的实际收益，亦不构成如皋农村商业银行对本理财产品的任何收益承诺。</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（2）本产品为非保本浮动收益型理财产品，如皋农村商业银行不提供保本承诺。</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3）业绩比较基准的设立依据：根据客户风险承受程度，如皋农村商业银行借助债券、货币市场工具等固定收益类资产设置了相应的投资组合，通过管理该投资组合，预期获得的投资报酬扣除该产品的托管费率（0.02%/年）、固定管理费（</w:t>
      </w:r>
      <w:r>
        <w:rPr>
          <w:rFonts w:ascii="宋体" w:hAnsi="宋体"/>
          <w:spacing w:val="10"/>
        </w:rPr>
        <w:t>0.30</w:t>
      </w:r>
      <w:r w:rsidRPr="003D001A">
        <w:rPr>
          <w:rFonts w:ascii="宋体" w:hAnsi="宋体" w:hint="eastAsia"/>
          <w:spacing w:val="10"/>
        </w:rPr>
        <w:t>%/年）、</w:t>
      </w:r>
      <w:r>
        <w:rPr>
          <w:rFonts w:ascii="宋体" w:hAnsi="宋体" w:hint="eastAsia"/>
          <w:spacing w:val="10"/>
        </w:rPr>
        <w:t>估值</w:t>
      </w:r>
      <w:r>
        <w:rPr>
          <w:rFonts w:ascii="宋体" w:hAnsi="宋体"/>
          <w:spacing w:val="10"/>
        </w:rPr>
        <w:t>外包费</w:t>
      </w:r>
      <w:r>
        <w:rPr>
          <w:rFonts w:ascii="宋体" w:hAnsi="宋体" w:hint="eastAsia"/>
          <w:spacing w:val="10"/>
        </w:rPr>
        <w:t>（0.01</w:t>
      </w:r>
      <w:r>
        <w:rPr>
          <w:rFonts w:ascii="宋体" w:hAnsi="宋体"/>
          <w:spacing w:val="10"/>
        </w:rPr>
        <w:t>%/</w:t>
      </w:r>
      <w:r>
        <w:rPr>
          <w:rFonts w:ascii="宋体" w:hAnsi="宋体" w:hint="eastAsia"/>
          <w:spacing w:val="10"/>
        </w:rPr>
        <w:t>年）、</w:t>
      </w:r>
      <w:r w:rsidRPr="003D001A">
        <w:rPr>
          <w:rFonts w:ascii="宋体" w:hAnsi="宋体"/>
          <w:spacing w:val="10"/>
        </w:rPr>
        <w:t>相关税费后</w:t>
      </w:r>
      <w:r w:rsidRPr="003D001A">
        <w:rPr>
          <w:rFonts w:ascii="宋体" w:hAnsi="宋体" w:hint="eastAsia"/>
          <w:spacing w:val="10"/>
        </w:rPr>
        <w:t>测算出本产品的业绩比较基准。如果产品实际获得的年化收益率超过产品业绩比较基准，超出部分由产品管理人收取。</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（4）产品风险提示：</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本产品为非保本浮动收益理财产品。您的本金可能会因市场变动而蒙受重大损失，您应充分认识投资风险，并自愿承担各种风险，在已充分了解协议和相关文件内容后，根据自身判断自主参与交易。</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2、客户收益的计算</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（1）客户收益计算方式：客户收益＝理财份额×（到期产品单位净值-1）。</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 xml:space="preserve"> 假设投资者持有本理财产品5万份，1年后确认日（T日）前1日（T-1日）的产品单位净值为1.05元，则客户收益=50000×（1.05-1）=2500元</w:t>
      </w:r>
    </w:p>
    <w:p w:rsidR="00DC51AA" w:rsidRPr="003D001A" w:rsidRDefault="00DC51AA" w:rsidP="00636CB3">
      <w:pPr>
        <w:ind w:firstLineChars="200" w:firstLine="462"/>
        <w:rPr>
          <w:rFonts w:ascii="宋体" w:hAnsi="宋体"/>
          <w:b/>
          <w:spacing w:val="10"/>
        </w:rPr>
      </w:pPr>
      <w:r w:rsidRPr="003D001A">
        <w:rPr>
          <w:rFonts w:ascii="宋体" w:hAnsi="宋体" w:hint="eastAsia"/>
          <w:b/>
          <w:spacing w:val="10"/>
        </w:rPr>
        <w:t>上述示例采用假设数据计算，并不代表投资者实际可获得的理财收益。</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w:t>
      </w:r>
      <w:r w:rsidRPr="003D001A">
        <w:rPr>
          <w:rFonts w:ascii="宋体" w:hAnsi="宋体"/>
          <w:spacing w:val="10"/>
        </w:rPr>
        <w:t>2</w:t>
      </w:r>
      <w:r w:rsidRPr="003D001A">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sidRPr="003D001A">
        <w:rPr>
          <w:rFonts w:ascii="宋体" w:hAnsi="宋体"/>
          <w:spacing w:val="10"/>
        </w:rPr>
        <w:t>0</w:t>
      </w:r>
      <w:r w:rsidRPr="003D001A">
        <w:rPr>
          <w:rFonts w:ascii="宋体" w:hAnsi="宋体" w:hint="eastAsia"/>
          <w:spacing w:val="10"/>
        </w:rPr>
        <w:t>，即投资人面临全部本金与收益的损失。</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3、产品到期兑付</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实际到期日，银行按客户认购金额将本金和收益全额支付给客户。</w:t>
      </w:r>
    </w:p>
    <w:p w:rsidR="00DC51AA" w:rsidRPr="003D001A" w:rsidRDefault="00DC51AA" w:rsidP="00636CB3">
      <w:pPr>
        <w:ind w:firstLineChars="200" w:firstLine="482"/>
        <w:rPr>
          <w:rFonts w:ascii="宋体" w:hAnsi="宋体"/>
          <w:b/>
          <w:sz w:val="24"/>
        </w:rPr>
      </w:pPr>
      <w:r w:rsidRPr="003D001A">
        <w:rPr>
          <w:rFonts w:ascii="宋体" w:hAnsi="宋体" w:hint="eastAsia"/>
          <w:b/>
          <w:sz w:val="24"/>
        </w:rPr>
        <w:t>第五条  估值</w:t>
      </w:r>
      <w:r w:rsidRPr="003D001A">
        <w:rPr>
          <w:rFonts w:ascii="宋体" w:hAnsi="宋体"/>
          <w:b/>
          <w:sz w:val="24"/>
        </w:rPr>
        <w:t>方法</w:t>
      </w:r>
    </w:p>
    <w:p w:rsidR="00DC51AA" w:rsidRPr="003D001A" w:rsidRDefault="00DC51AA" w:rsidP="00636CB3">
      <w:pPr>
        <w:ind w:firstLineChars="200" w:firstLine="420"/>
        <w:rPr>
          <w:rFonts w:ascii="宋体" w:hAnsi="宋体"/>
          <w:szCs w:val="21"/>
        </w:rPr>
      </w:pPr>
      <w:r w:rsidRPr="003D001A">
        <w:rPr>
          <w:rFonts w:ascii="宋体" w:hAnsi="宋体" w:hint="eastAsia"/>
          <w:szCs w:val="21"/>
        </w:rPr>
        <w:t>本理财</w:t>
      </w:r>
      <w:r w:rsidRPr="003D001A">
        <w:rPr>
          <w:rFonts w:ascii="宋体" w:hAnsi="宋体"/>
          <w:szCs w:val="21"/>
        </w:rPr>
        <w:t>产品采用摊余成本法进行估值。</w:t>
      </w:r>
      <w:r w:rsidRPr="003D001A">
        <w:rPr>
          <w:rFonts w:ascii="宋体" w:hAnsi="宋体" w:hint="eastAsia"/>
          <w:szCs w:val="21"/>
        </w:rPr>
        <w:t>理财产品总净值为按照本理财产品说明书约定的估值方法计算的理财产品资产价值总额减去负债价值总额及</w:t>
      </w:r>
      <w:r w:rsidRPr="003D001A">
        <w:rPr>
          <w:rFonts w:ascii="宋体" w:hAnsi="宋体"/>
          <w:szCs w:val="21"/>
        </w:rPr>
        <w:t>相关费用</w:t>
      </w:r>
      <w:r w:rsidRPr="003D001A">
        <w:rPr>
          <w:rFonts w:ascii="宋体" w:hAnsi="宋体" w:hint="eastAsia"/>
          <w:szCs w:val="21"/>
        </w:rPr>
        <w:t xml:space="preserve">后的价值。 </w:t>
      </w:r>
    </w:p>
    <w:p w:rsidR="00DC51AA" w:rsidRPr="003D001A" w:rsidRDefault="00DC51AA" w:rsidP="00636CB3">
      <w:pPr>
        <w:ind w:firstLineChars="200" w:firstLine="420"/>
        <w:rPr>
          <w:rFonts w:ascii="宋体" w:hAnsi="宋体"/>
          <w:spacing w:val="10"/>
          <w:szCs w:val="21"/>
        </w:rPr>
      </w:pPr>
      <w:r w:rsidRPr="003D001A">
        <w:rPr>
          <w:rFonts w:ascii="宋体" w:hAnsi="宋体" w:hint="eastAsia"/>
          <w:szCs w:val="21"/>
        </w:rPr>
        <w:t>理财产品单位净值=理财产品总净值÷理财产品总存续份额</w:t>
      </w:r>
    </w:p>
    <w:p w:rsidR="00DC51AA" w:rsidRPr="003D001A" w:rsidRDefault="00DC51AA" w:rsidP="00636CB3">
      <w:pPr>
        <w:ind w:firstLineChars="200" w:firstLine="482"/>
        <w:rPr>
          <w:rFonts w:ascii="宋体" w:hAnsi="宋体"/>
          <w:b/>
          <w:sz w:val="24"/>
        </w:rPr>
      </w:pPr>
      <w:r w:rsidRPr="003D001A">
        <w:rPr>
          <w:rFonts w:ascii="宋体" w:hAnsi="宋体" w:hint="eastAsia"/>
          <w:b/>
          <w:sz w:val="24"/>
        </w:rPr>
        <w:t>第六条  收益率历史参考</w:t>
      </w:r>
    </w:p>
    <w:p w:rsidR="00DC51AA" w:rsidRPr="00864A63" w:rsidRDefault="00DC51AA" w:rsidP="00C43334">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9</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Ind w:w="0" w:type="dxa"/>
        <w:tblLayout w:type="fixed"/>
        <w:tblLook w:val="04A0" w:firstRow="1" w:lastRow="0" w:firstColumn="1" w:lastColumn="0" w:noHBand="0" w:noVBand="1"/>
      </w:tblPr>
      <w:tblGrid>
        <w:gridCol w:w="1320"/>
        <w:gridCol w:w="2013"/>
        <w:gridCol w:w="4407"/>
      </w:tblGrid>
      <w:tr w:rsidR="00DC51AA" w:rsidRPr="00864A63" w:rsidTr="005E4EC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4"/>
              </w:rPr>
            </w:pPr>
            <w:r w:rsidRPr="00864A63">
              <w:rPr>
                <w:rFonts w:ascii="宋体" w:hAnsi="宋体" w:cs="宋体" w:hint="eastAsia"/>
                <w:kern w:val="0"/>
                <w:sz w:val="24"/>
              </w:rPr>
              <w:t>测算依据</w:t>
            </w:r>
          </w:p>
        </w:tc>
      </w:tr>
      <w:tr w:rsidR="00DC51AA" w:rsidRPr="00864A63" w:rsidTr="005E4EC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Pr>
                <w:rFonts w:ascii="宋体" w:hAnsi="宋体" w:cs="宋体"/>
                <w:kern w:val="0"/>
                <w:sz w:val="22"/>
                <w:szCs w:val="22"/>
              </w:rPr>
              <w:t>2.4293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DC51AA" w:rsidRPr="00864A63" w:rsidTr="005E4EC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Pr>
                <w:rFonts w:ascii="宋体" w:hAnsi="宋体" w:cs="宋体"/>
                <w:kern w:val="0"/>
                <w:sz w:val="22"/>
                <w:szCs w:val="22"/>
              </w:rPr>
              <w:t>2.5144</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DC51AA" w:rsidRPr="00864A63" w:rsidTr="005E4EC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Pr>
                <w:rFonts w:ascii="宋体" w:hAnsi="宋体" w:cs="宋体"/>
                <w:kern w:val="0"/>
                <w:sz w:val="22"/>
                <w:szCs w:val="22"/>
              </w:rPr>
              <w:t>3.6241</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DC51AA" w:rsidRPr="00864A63" w:rsidTr="005E4EC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Pr>
                <w:rFonts w:ascii="宋体" w:hAnsi="宋体" w:cs="宋体"/>
                <w:kern w:val="0"/>
                <w:sz w:val="22"/>
                <w:szCs w:val="22"/>
              </w:rPr>
              <w:t>4.4537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DC51AA" w:rsidRPr="00864A63" w:rsidTr="005E4EC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Pr>
                <w:rFonts w:ascii="宋体" w:hAnsi="宋体" w:cs="宋体"/>
                <w:kern w:val="0"/>
                <w:sz w:val="22"/>
                <w:szCs w:val="22"/>
              </w:rPr>
              <w:t>3.6241</w:t>
            </w:r>
          </w:p>
        </w:tc>
        <w:tc>
          <w:tcPr>
            <w:tcW w:w="4407"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DC51AA" w:rsidRPr="00864A63" w:rsidTr="005E4EC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DC51AA" w:rsidRPr="00864A63" w:rsidRDefault="00DC51AA" w:rsidP="008D024D">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Pr>
                <w:rFonts w:ascii="宋体" w:hAnsi="宋体" w:cs="宋体"/>
                <w:kern w:val="0"/>
                <w:sz w:val="22"/>
                <w:szCs w:val="22"/>
              </w:rPr>
              <w:t>4.4537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8D024D">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DC51AA" w:rsidRPr="00864A63" w:rsidTr="005E4EC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Pr>
                <w:rFonts w:ascii="宋体" w:hAnsi="宋体" w:cs="宋体"/>
                <w:kern w:val="0"/>
                <w:sz w:val="22"/>
                <w:szCs w:val="22"/>
              </w:rPr>
              <w:t>2.9288</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DC51AA" w:rsidRPr="00864A63" w:rsidTr="005E4EC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DC51AA" w:rsidRPr="00864A63" w:rsidRDefault="00DC51AA" w:rsidP="0071530C">
            <w:pPr>
              <w:widowControl/>
              <w:jc w:val="center"/>
              <w:rPr>
                <w:rFonts w:ascii="宋体" w:hAnsi="宋体" w:cs="宋体"/>
                <w:kern w:val="0"/>
                <w:sz w:val="22"/>
                <w:szCs w:val="22"/>
              </w:rPr>
            </w:pPr>
            <w:r>
              <w:rPr>
                <w:rFonts w:ascii="宋体" w:hAnsi="宋体" w:cs="宋体"/>
                <w:kern w:val="0"/>
                <w:sz w:val="22"/>
                <w:szCs w:val="22"/>
              </w:rPr>
              <w:t>3.7198</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DC51AA" w:rsidRPr="00864A63" w:rsidTr="005E4EC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DC51AA" w:rsidRPr="00864A63" w:rsidRDefault="00DC51AA" w:rsidP="0071530C">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3745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DC51AA" w:rsidRPr="00864A63" w:rsidTr="005E4EC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DC51AA" w:rsidRPr="00864A63" w:rsidRDefault="00DC51AA" w:rsidP="0071530C">
            <w:pPr>
              <w:widowControl/>
              <w:jc w:val="center"/>
              <w:rPr>
                <w:rFonts w:ascii="宋体" w:hAnsi="宋体" w:cs="宋体"/>
                <w:kern w:val="0"/>
                <w:sz w:val="22"/>
                <w:szCs w:val="22"/>
              </w:rPr>
            </w:pPr>
            <w:r>
              <w:rPr>
                <w:rFonts w:ascii="宋体" w:hAnsi="宋体" w:cs="宋体"/>
                <w:kern w:val="0"/>
                <w:sz w:val="22"/>
                <w:szCs w:val="22"/>
              </w:rPr>
              <w:t>2.4150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DC51AA" w:rsidRPr="00864A63" w:rsidRDefault="00DC51AA" w:rsidP="005E4EC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DC51AA" w:rsidRPr="003D001A" w:rsidRDefault="00DC51AA" w:rsidP="00636CB3">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业绩比较基准以及实现本理财产品最终收益率的可靠依据。本理财最终收益率实现将视市场情况等因素而定。</w:t>
      </w:r>
    </w:p>
    <w:p w:rsidR="00DC51AA" w:rsidRPr="003D001A" w:rsidRDefault="00DC51AA" w:rsidP="00636CB3">
      <w:pPr>
        <w:ind w:firstLineChars="200" w:firstLine="482"/>
        <w:rPr>
          <w:rFonts w:ascii="宋体" w:hAnsi="宋体"/>
          <w:b/>
          <w:spacing w:val="10"/>
          <w:sz w:val="24"/>
        </w:rPr>
      </w:pPr>
      <w:r w:rsidRPr="003D001A">
        <w:rPr>
          <w:rFonts w:ascii="宋体" w:hAnsi="宋体" w:hint="eastAsia"/>
          <w:b/>
          <w:kern w:val="0"/>
          <w:sz w:val="24"/>
          <w:u w:color="000000"/>
        </w:rPr>
        <w:t xml:space="preserve">第七条 </w:t>
      </w:r>
      <w:r w:rsidRPr="003D001A">
        <w:rPr>
          <w:rFonts w:ascii="宋体" w:hAnsi="宋体" w:hint="eastAsia"/>
          <w:b/>
          <w:spacing w:val="10"/>
          <w:sz w:val="24"/>
        </w:rPr>
        <w:t xml:space="preserve"> 银行理财资产管理自律守则</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（一）构造理念</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（二）基本原则</w:t>
      </w:r>
    </w:p>
    <w:p w:rsidR="00DC51AA" w:rsidRPr="003D001A" w:rsidRDefault="00DC51AA" w:rsidP="00636CB3">
      <w:pPr>
        <w:ind w:firstLineChars="200" w:firstLine="460"/>
        <w:rPr>
          <w:rFonts w:ascii="宋体" w:hAnsi="宋体"/>
          <w:spacing w:val="10"/>
        </w:rPr>
      </w:pPr>
      <w:r w:rsidRPr="003D001A">
        <w:rPr>
          <w:rFonts w:ascii="宋体" w:hAnsi="宋体"/>
          <w:spacing w:val="10"/>
        </w:rPr>
        <w:t>1、合规运作：严格遵守国家有关法律法规</w:t>
      </w:r>
      <w:r w:rsidRPr="003D001A">
        <w:rPr>
          <w:rFonts w:ascii="宋体" w:hAnsi="宋体" w:hint="eastAsia"/>
          <w:spacing w:val="10"/>
        </w:rPr>
        <w:t>及监管规章</w:t>
      </w:r>
      <w:r w:rsidRPr="003D001A">
        <w:rPr>
          <w:rFonts w:ascii="宋体" w:hAnsi="宋体"/>
          <w:spacing w:val="10"/>
        </w:rPr>
        <w:t>。</w:t>
      </w:r>
    </w:p>
    <w:p w:rsidR="00DC51AA" w:rsidRPr="003D001A" w:rsidRDefault="00DC51AA" w:rsidP="00636CB3">
      <w:pPr>
        <w:ind w:firstLineChars="200" w:firstLine="460"/>
        <w:rPr>
          <w:rFonts w:ascii="宋体" w:hAnsi="宋体"/>
          <w:spacing w:val="10"/>
        </w:rPr>
      </w:pPr>
      <w:r w:rsidRPr="003D001A">
        <w:rPr>
          <w:rFonts w:ascii="宋体" w:hAnsi="宋体"/>
          <w:spacing w:val="10"/>
        </w:rPr>
        <w:t>2、客户利益最大化：以维护本理财产品的本金安全和收益保障作为组合构建的最高准则。</w:t>
      </w:r>
    </w:p>
    <w:p w:rsidR="00DC51AA" w:rsidRPr="003D001A" w:rsidRDefault="00DC51AA" w:rsidP="00636CB3">
      <w:pPr>
        <w:ind w:firstLineChars="200" w:firstLine="460"/>
        <w:rPr>
          <w:rFonts w:ascii="宋体" w:hAnsi="宋体"/>
          <w:spacing w:val="10"/>
        </w:rPr>
      </w:pPr>
      <w:r w:rsidRPr="003D001A">
        <w:rPr>
          <w:rFonts w:ascii="宋体" w:hAnsi="宋体"/>
          <w:spacing w:val="10"/>
        </w:rPr>
        <w:t>3、分账户管理：逐期分账户封闭管理，确定本理财产品对应的专项理财资产与银行自营资产严格分离。</w:t>
      </w:r>
    </w:p>
    <w:p w:rsidR="00DC51AA" w:rsidRPr="003D001A" w:rsidRDefault="00DC51AA" w:rsidP="00636CB3">
      <w:pPr>
        <w:ind w:firstLineChars="200" w:firstLine="460"/>
        <w:rPr>
          <w:rFonts w:ascii="宋体" w:hAnsi="宋体"/>
          <w:spacing w:val="10"/>
        </w:rPr>
      </w:pPr>
      <w:r w:rsidRPr="003D001A">
        <w:rPr>
          <w:rFonts w:ascii="宋体" w:hAnsi="宋体"/>
          <w:spacing w:val="10"/>
        </w:rPr>
        <w:t>4、尽职透明：严格在本理财产品说明书及对应协议书约定的专项理财资产运作方式范围内履行尽职管理责任，并对本理财产品风险予以充分揭示和披露。</w:t>
      </w:r>
    </w:p>
    <w:p w:rsidR="00DC51AA" w:rsidRPr="003D001A" w:rsidRDefault="00DC51AA" w:rsidP="00636CB3">
      <w:pPr>
        <w:ind w:firstLineChars="200" w:firstLine="482"/>
        <w:rPr>
          <w:rFonts w:ascii="宋体" w:hAnsi="宋体"/>
          <w:b/>
          <w:spacing w:val="10"/>
          <w:sz w:val="24"/>
        </w:rPr>
      </w:pPr>
      <w:r w:rsidRPr="003D001A">
        <w:rPr>
          <w:rFonts w:ascii="宋体" w:hAnsi="宋体" w:hint="eastAsia"/>
          <w:b/>
          <w:kern w:val="0"/>
          <w:sz w:val="24"/>
          <w:u w:color="000000"/>
        </w:rPr>
        <w:t xml:space="preserve">第八条 </w:t>
      </w:r>
      <w:r w:rsidRPr="003D001A">
        <w:rPr>
          <w:rFonts w:ascii="宋体" w:hAnsi="宋体" w:hint="eastAsia"/>
          <w:b/>
          <w:spacing w:val="10"/>
          <w:sz w:val="24"/>
        </w:rPr>
        <w:t xml:space="preserve"> 理财产品的认购与兑付</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（一）认购所需材料</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1、个人客户</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（1）本人有效身份证件原件；</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（2）本人借记卡或存折；</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（3）填妥并签署客户风险承受能力评估书；</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（4）填妥并签署本理财产品协议书；</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（5）其他银行需要的资料。</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2、机构投资者</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（2）提供法定代表人身份证复印件；</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（3）授权经办人办理理财业务的授权委托书，被授权人的身份证明及复印件；</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（4）本行资金账号（活期存款账号）；</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（5）其他银行需要的资料。</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（二）兑付和税收</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1．提前终止权的行使：本理财产品发生提前终止时，银行将于该理财产品提前终止日前3个工作日在银行各营业网点、官方网站（</w:t>
      </w:r>
      <w:r w:rsidRPr="003D001A">
        <w:rPr>
          <w:rFonts w:ascii="宋体" w:hAnsi="宋体" w:hint="eastAsia"/>
          <w:szCs w:val="21"/>
        </w:rPr>
        <w:t>www.rgrcb.com</w:t>
      </w:r>
      <w:r w:rsidRPr="003D001A">
        <w:rPr>
          <w:rFonts w:ascii="宋体" w:hAnsi="宋体" w:hint="eastAsia"/>
          <w:spacing w:val="10"/>
        </w:rPr>
        <w:t>）发布提前终止公告，通知投资人兑付本理财产品，并按约定将可兑付款项按理财产品协议书规定的要求划入投资人授权指定账户。</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2．到期兑付：银行将于实际到期日按协议书规定的要求划入投资人授权指定账户。</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DC51AA" w:rsidRPr="003D001A" w:rsidRDefault="00DC51AA" w:rsidP="00636CB3">
      <w:pPr>
        <w:pStyle w:val="a7"/>
        <w:widowControl w:val="0"/>
        <w:snapToGrid w:val="0"/>
        <w:spacing w:before="0" w:after="0" w:line="240" w:lineRule="auto"/>
        <w:ind w:firstLineChars="200" w:firstLine="482"/>
        <w:jc w:val="both"/>
        <w:rPr>
          <w:rFonts w:ascii="宋体" w:hAnsi="宋体"/>
          <w:b/>
          <w:color w:val="auto"/>
        </w:rPr>
      </w:pPr>
      <w:r w:rsidRPr="003D001A">
        <w:rPr>
          <w:rFonts w:ascii="宋体" w:hAnsi="宋体" w:hint="eastAsia"/>
          <w:b/>
          <w:color w:val="auto"/>
        </w:rPr>
        <w:t>第九条  重要提示</w:t>
      </w:r>
    </w:p>
    <w:p w:rsidR="00DC51AA" w:rsidRDefault="00DC51AA" w:rsidP="00636CB3">
      <w:pPr>
        <w:ind w:firstLineChars="200" w:firstLine="422"/>
        <w:rPr>
          <w:rFonts w:ascii="宋体" w:hAnsi="宋体"/>
          <w:b/>
          <w:bCs/>
          <w:spacing w:val="10"/>
          <w:szCs w:val="21"/>
        </w:rPr>
      </w:pPr>
      <w:r w:rsidRPr="003D001A">
        <w:rPr>
          <w:rFonts w:hint="eastAsia"/>
          <w:b/>
          <w:bCs/>
          <w:szCs w:val="21"/>
        </w:rPr>
        <w:t>本理财产品是</w:t>
      </w:r>
      <w:r w:rsidRPr="003D001A">
        <w:rPr>
          <w:rFonts w:ascii="宋体" w:hAnsi="宋体" w:hint="eastAsia"/>
          <w:b/>
          <w:bCs/>
          <w:szCs w:val="21"/>
          <w:u w:val="single"/>
        </w:rPr>
        <w:t>非保本、净值型</w:t>
      </w:r>
      <w:r w:rsidRPr="003D001A">
        <w:rPr>
          <w:rFonts w:hint="eastAsia"/>
          <w:b/>
          <w:bCs/>
          <w:szCs w:val="21"/>
        </w:rPr>
        <w:t>理财产品，您的本金与收益可能会因市场变动而蒙受重大损失，您应仔细阅读理财产品风险揭示书、理财产品说明书、投资人权益须知和理财产品协议条款；</w:t>
      </w:r>
      <w:r w:rsidRPr="003D001A">
        <w:rPr>
          <w:rFonts w:ascii="宋体" w:hAnsi="宋体" w:hint="eastAsia"/>
          <w:b/>
          <w:bCs/>
          <w:spacing w:val="10"/>
          <w:szCs w:val="21"/>
        </w:rPr>
        <w:t>本理财产品</w:t>
      </w:r>
      <w:r w:rsidRPr="003D001A">
        <w:rPr>
          <w:rFonts w:ascii="宋体" w:hAnsi="宋体" w:hint="eastAsia"/>
          <w:b/>
          <w:bCs/>
          <w:szCs w:val="21"/>
        </w:rPr>
        <w:t>最终收益率的实现将视市场情况等因素而定，</w:t>
      </w:r>
      <w:r w:rsidRPr="003D001A">
        <w:rPr>
          <w:rFonts w:ascii="宋体" w:hAnsi="宋体" w:hint="eastAsia"/>
          <w:b/>
          <w:bCs/>
          <w:spacing w:val="10"/>
          <w:szCs w:val="21"/>
        </w:rPr>
        <w:t>您应该充分认识本产品的投资风险，</w:t>
      </w:r>
      <w:r w:rsidRPr="003D001A">
        <w:rPr>
          <w:rFonts w:ascii="宋体" w:hAnsi="宋体" w:hint="eastAsia"/>
          <w:b/>
          <w:bCs/>
          <w:szCs w:val="21"/>
        </w:rPr>
        <w:t>敬请仔细判别，</w:t>
      </w:r>
      <w:r w:rsidRPr="003D001A">
        <w:rPr>
          <w:rFonts w:ascii="宋体" w:hAnsi="宋体" w:hint="eastAsia"/>
          <w:b/>
          <w:bCs/>
          <w:spacing w:val="10"/>
          <w:szCs w:val="21"/>
        </w:rPr>
        <w:t>谨慎投资。</w:t>
      </w:r>
    </w:p>
    <w:p w:rsidR="00DC51AA" w:rsidRPr="00642353" w:rsidRDefault="00DC51AA" w:rsidP="00636CB3">
      <w:pPr>
        <w:ind w:firstLineChars="200" w:firstLine="462"/>
        <w:rPr>
          <w:rFonts w:ascii="宋体" w:hAnsi="宋体" w:hint="eastAsia"/>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DC51AA" w:rsidRPr="003D001A" w:rsidRDefault="00DC51AA" w:rsidP="00636CB3">
      <w:pPr>
        <w:ind w:firstLineChars="200" w:firstLine="460"/>
        <w:rPr>
          <w:rFonts w:ascii="宋体" w:hAnsi="宋体"/>
          <w:spacing w:val="10"/>
        </w:rPr>
      </w:pPr>
      <w:r w:rsidRPr="003D001A">
        <w:rPr>
          <w:rFonts w:ascii="宋体" w:hAnsi="宋体" w:hint="eastAsia"/>
          <w:spacing w:val="10"/>
        </w:rPr>
        <w:t>本理财产品说明书为理财产品协议书不可分割之组成部分。</w:t>
      </w:r>
    </w:p>
    <w:p w:rsidR="00DC51AA" w:rsidRDefault="00DC51AA" w:rsidP="00636CB3">
      <w:pPr>
        <w:ind w:firstLineChars="200" w:firstLine="460"/>
        <w:rPr>
          <w:rFonts w:ascii="宋体" w:hAnsi="宋体" w:hint="eastAsia"/>
          <w:spacing w:val="10"/>
        </w:rPr>
      </w:pPr>
      <w:r w:rsidRPr="003D001A">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本理财产品不纳入银行开具存款证明受理产品范围。本理财产品说明书在法律许可的范围内由银行负责解释。若投资人对本理财说明书的内容有任何疑问或异议，请致电客户服务热线0513-87616039、</w:t>
      </w:r>
      <w:r w:rsidRPr="003D001A">
        <w:rPr>
          <w:rFonts w:ascii="宋体" w:hAnsi="宋体"/>
          <w:spacing w:val="10"/>
        </w:rPr>
        <w:t>0513-87616180</w:t>
      </w:r>
      <w:r w:rsidRPr="003D001A">
        <w:rPr>
          <w:rFonts w:ascii="宋体" w:hAnsi="宋体" w:hint="eastAsia"/>
          <w:spacing w:val="10"/>
        </w:rPr>
        <w:t>、0513-8761</w:t>
      </w:r>
      <w:r w:rsidRPr="003D001A">
        <w:rPr>
          <w:rFonts w:ascii="宋体" w:hAnsi="宋体"/>
          <w:spacing w:val="10"/>
        </w:rPr>
        <w:t>6097</w:t>
      </w:r>
      <w:r w:rsidRPr="003D001A">
        <w:rPr>
          <w:rFonts w:ascii="宋体" w:hAnsi="宋体" w:hint="eastAsia"/>
          <w:spacing w:val="10"/>
        </w:rPr>
        <w:t>咨询、投诉。</w:t>
      </w:r>
    </w:p>
    <w:sectPr w:rsidR="00DC51AA" w:rsidSect="00DC51AA">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AA" w:rsidRDefault="00DC51AA">
      <w:r>
        <w:separator/>
      </w:r>
    </w:p>
  </w:endnote>
  <w:endnote w:type="continuationSeparator" w:id="0">
    <w:p w:rsidR="00DC51AA" w:rsidRDefault="00DC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6"/>
      <w:framePr w:wrap="around" w:vAnchor="text" w:hAnchor="margin" w:xAlign="center" w:y="1"/>
      <w:rPr>
        <w:rStyle w:val="a5"/>
      </w:rPr>
    </w:pPr>
    <w:r>
      <w:fldChar w:fldCharType="begin"/>
    </w:r>
    <w:r>
      <w:rPr>
        <w:rStyle w:val="a5"/>
      </w:rPr>
      <w:instrText xml:space="preserve">PAGE  </w:instrText>
    </w:r>
    <w:r>
      <w:fldChar w:fldCharType="separate"/>
    </w:r>
    <w:r w:rsidR="005E570D">
      <w:rPr>
        <w:rStyle w:val="a5"/>
        <w:noProof/>
      </w:rPr>
      <w:t>1</w:t>
    </w:r>
    <w:r>
      <w:fldChar w:fldCharType="end"/>
    </w:r>
  </w:p>
  <w:p w:rsidR="002A5DD9" w:rsidRDefault="002A5D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6"/>
      <w:framePr w:wrap="around" w:vAnchor="text" w:hAnchor="margin" w:xAlign="center" w:y="1"/>
      <w:rPr>
        <w:rStyle w:val="a5"/>
      </w:rPr>
    </w:pPr>
    <w:r>
      <w:fldChar w:fldCharType="begin"/>
    </w:r>
    <w:r>
      <w:rPr>
        <w:rStyle w:val="a5"/>
      </w:rPr>
      <w:instrText xml:space="preserve">PAGE  </w:instrText>
    </w:r>
    <w:r>
      <w:fldChar w:fldCharType="separate"/>
    </w:r>
    <w:r w:rsidR="00DC51AA">
      <w:rPr>
        <w:rStyle w:val="a5"/>
        <w:noProof/>
      </w:rPr>
      <w:t>1</w:t>
    </w:r>
    <w:r>
      <w:fldChar w:fldCharType="end"/>
    </w:r>
  </w:p>
  <w:p w:rsidR="002A5DD9" w:rsidRDefault="002A5D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AA" w:rsidRDefault="00DC51AA">
      <w:r>
        <w:separator/>
      </w:r>
    </w:p>
  </w:footnote>
  <w:footnote w:type="continuationSeparator" w:id="0">
    <w:p w:rsidR="00DC51AA" w:rsidRDefault="00DC5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34EA"/>
    <w:rsid w:val="000058F2"/>
    <w:rsid w:val="0005319A"/>
    <w:rsid w:val="000542A2"/>
    <w:rsid w:val="000542A6"/>
    <w:rsid w:val="00072E45"/>
    <w:rsid w:val="000778EA"/>
    <w:rsid w:val="000855FA"/>
    <w:rsid w:val="00086ACA"/>
    <w:rsid w:val="000C4A1F"/>
    <w:rsid w:val="000D7F03"/>
    <w:rsid w:val="000E295B"/>
    <w:rsid w:val="000E5F35"/>
    <w:rsid w:val="000E6556"/>
    <w:rsid w:val="000F381A"/>
    <w:rsid w:val="0010764F"/>
    <w:rsid w:val="00124E6A"/>
    <w:rsid w:val="00126FB3"/>
    <w:rsid w:val="00127111"/>
    <w:rsid w:val="00147B37"/>
    <w:rsid w:val="00150038"/>
    <w:rsid w:val="001742CE"/>
    <w:rsid w:val="001747D9"/>
    <w:rsid w:val="001862E3"/>
    <w:rsid w:val="0019161A"/>
    <w:rsid w:val="002045DB"/>
    <w:rsid w:val="00207254"/>
    <w:rsid w:val="002073C3"/>
    <w:rsid w:val="002172DA"/>
    <w:rsid w:val="002215AC"/>
    <w:rsid w:val="00231A08"/>
    <w:rsid w:val="0024045A"/>
    <w:rsid w:val="002722AC"/>
    <w:rsid w:val="00292BE8"/>
    <w:rsid w:val="002A5239"/>
    <w:rsid w:val="002A5DD9"/>
    <w:rsid w:val="002C3415"/>
    <w:rsid w:val="002E2A07"/>
    <w:rsid w:val="002E30A0"/>
    <w:rsid w:val="002F4C07"/>
    <w:rsid w:val="00303EA1"/>
    <w:rsid w:val="00314EB9"/>
    <w:rsid w:val="00320E87"/>
    <w:rsid w:val="00337DB8"/>
    <w:rsid w:val="00340D52"/>
    <w:rsid w:val="00342F92"/>
    <w:rsid w:val="0034407C"/>
    <w:rsid w:val="00346A99"/>
    <w:rsid w:val="00351F4A"/>
    <w:rsid w:val="003537C6"/>
    <w:rsid w:val="00354A1D"/>
    <w:rsid w:val="003715B4"/>
    <w:rsid w:val="003753B3"/>
    <w:rsid w:val="003768F7"/>
    <w:rsid w:val="00392149"/>
    <w:rsid w:val="00393AB6"/>
    <w:rsid w:val="003A2EE5"/>
    <w:rsid w:val="003A5995"/>
    <w:rsid w:val="003A5DC4"/>
    <w:rsid w:val="003A61BE"/>
    <w:rsid w:val="003C1DE8"/>
    <w:rsid w:val="003C5D59"/>
    <w:rsid w:val="003E1530"/>
    <w:rsid w:val="003E2DB5"/>
    <w:rsid w:val="003E3CD2"/>
    <w:rsid w:val="00412A4B"/>
    <w:rsid w:val="004330B4"/>
    <w:rsid w:val="00444FFE"/>
    <w:rsid w:val="00450B60"/>
    <w:rsid w:val="00457556"/>
    <w:rsid w:val="00464172"/>
    <w:rsid w:val="004757C4"/>
    <w:rsid w:val="00483E45"/>
    <w:rsid w:val="00486371"/>
    <w:rsid w:val="0049104A"/>
    <w:rsid w:val="004938D3"/>
    <w:rsid w:val="00493C0F"/>
    <w:rsid w:val="004A0FBB"/>
    <w:rsid w:val="004B1F86"/>
    <w:rsid w:val="004B5948"/>
    <w:rsid w:val="004D048E"/>
    <w:rsid w:val="004D3BBD"/>
    <w:rsid w:val="004E4DA1"/>
    <w:rsid w:val="00505D06"/>
    <w:rsid w:val="00543E9B"/>
    <w:rsid w:val="0055558E"/>
    <w:rsid w:val="00583003"/>
    <w:rsid w:val="005B2C60"/>
    <w:rsid w:val="005D1C14"/>
    <w:rsid w:val="005E374D"/>
    <w:rsid w:val="005E40C1"/>
    <w:rsid w:val="005E4EC0"/>
    <w:rsid w:val="005E570D"/>
    <w:rsid w:val="005F6FCE"/>
    <w:rsid w:val="00600BCD"/>
    <w:rsid w:val="00600CAB"/>
    <w:rsid w:val="00611FF8"/>
    <w:rsid w:val="00623652"/>
    <w:rsid w:val="00625112"/>
    <w:rsid w:val="00636CB3"/>
    <w:rsid w:val="00642353"/>
    <w:rsid w:val="00650692"/>
    <w:rsid w:val="00682655"/>
    <w:rsid w:val="00690D5E"/>
    <w:rsid w:val="006928D9"/>
    <w:rsid w:val="00697614"/>
    <w:rsid w:val="006B1857"/>
    <w:rsid w:val="006B7D88"/>
    <w:rsid w:val="006D5C1A"/>
    <w:rsid w:val="006E0D57"/>
    <w:rsid w:val="006E1637"/>
    <w:rsid w:val="006E7335"/>
    <w:rsid w:val="0071530C"/>
    <w:rsid w:val="00715C25"/>
    <w:rsid w:val="00722CCB"/>
    <w:rsid w:val="00727C39"/>
    <w:rsid w:val="007341FF"/>
    <w:rsid w:val="00743B87"/>
    <w:rsid w:val="007456D5"/>
    <w:rsid w:val="00746727"/>
    <w:rsid w:val="00760645"/>
    <w:rsid w:val="00760F98"/>
    <w:rsid w:val="0078139E"/>
    <w:rsid w:val="00792417"/>
    <w:rsid w:val="0079531F"/>
    <w:rsid w:val="007B2F14"/>
    <w:rsid w:val="007E2BB8"/>
    <w:rsid w:val="007F5345"/>
    <w:rsid w:val="007F7C30"/>
    <w:rsid w:val="00803008"/>
    <w:rsid w:val="00803D3E"/>
    <w:rsid w:val="00834AB2"/>
    <w:rsid w:val="0084579E"/>
    <w:rsid w:val="00856DB9"/>
    <w:rsid w:val="00857DE4"/>
    <w:rsid w:val="00862E70"/>
    <w:rsid w:val="00872BD6"/>
    <w:rsid w:val="00874C71"/>
    <w:rsid w:val="008831C7"/>
    <w:rsid w:val="008A29DB"/>
    <w:rsid w:val="008A5822"/>
    <w:rsid w:val="008A6016"/>
    <w:rsid w:val="008B0179"/>
    <w:rsid w:val="008B2DA2"/>
    <w:rsid w:val="008B6633"/>
    <w:rsid w:val="008C2204"/>
    <w:rsid w:val="008C5D0F"/>
    <w:rsid w:val="008D024D"/>
    <w:rsid w:val="008D03B0"/>
    <w:rsid w:val="008D2B2C"/>
    <w:rsid w:val="008E1F01"/>
    <w:rsid w:val="008F2E9C"/>
    <w:rsid w:val="00901739"/>
    <w:rsid w:val="0090528F"/>
    <w:rsid w:val="00912A69"/>
    <w:rsid w:val="009140FE"/>
    <w:rsid w:val="00914EFA"/>
    <w:rsid w:val="009259E4"/>
    <w:rsid w:val="009373C5"/>
    <w:rsid w:val="009418D9"/>
    <w:rsid w:val="00941FB8"/>
    <w:rsid w:val="00950BD4"/>
    <w:rsid w:val="00952730"/>
    <w:rsid w:val="00966BA4"/>
    <w:rsid w:val="00976FA4"/>
    <w:rsid w:val="009862F2"/>
    <w:rsid w:val="009966FB"/>
    <w:rsid w:val="009A14EC"/>
    <w:rsid w:val="009B556A"/>
    <w:rsid w:val="009B70D6"/>
    <w:rsid w:val="009F6781"/>
    <w:rsid w:val="00A0125F"/>
    <w:rsid w:val="00A03042"/>
    <w:rsid w:val="00A15B36"/>
    <w:rsid w:val="00A21A22"/>
    <w:rsid w:val="00A220B3"/>
    <w:rsid w:val="00A31DB8"/>
    <w:rsid w:val="00A44CB2"/>
    <w:rsid w:val="00A47D48"/>
    <w:rsid w:val="00A56653"/>
    <w:rsid w:val="00A61985"/>
    <w:rsid w:val="00A63B97"/>
    <w:rsid w:val="00A82370"/>
    <w:rsid w:val="00A83563"/>
    <w:rsid w:val="00A94B78"/>
    <w:rsid w:val="00A950A1"/>
    <w:rsid w:val="00AA2C3F"/>
    <w:rsid w:val="00AB3AA2"/>
    <w:rsid w:val="00AC1266"/>
    <w:rsid w:val="00AC235A"/>
    <w:rsid w:val="00AC644C"/>
    <w:rsid w:val="00AC7999"/>
    <w:rsid w:val="00AF044C"/>
    <w:rsid w:val="00AF1433"/>
    <w:rsid w:val="00AF1D1B"/>
    <w:rsid w:val="00AF68B8"/>
    <w:rsid w:val="00B00645"/>
    <w:rsid w:val="00B01292"/>
    <w:rsid w:val="00B046FC"/>
    <w:rsid w:val="00B12A92"/>
    <w:rsid w:val="00B15ABE"/>
    <w:rsid w:val="00B21574"/>
    <w:rsid w:val="00B474E6"/>
    <w:rsid w:val="00B52059"/>
    <w:rsid w:val="00B55B78"/>
    <w:rsid w:val="00B573F1"/>
    <w:rsid w:val="00B660B6"/>
    <w:rsid w:val="00B671DF"/>
    <w:rsid w:val="00B76C9F"/>
    <w:rsid w:val="00B77F8D"/>
    <w:rsid w:val="00BA0E46"/>
    <w:rsid w:val="00BE72CC"/>
    <w:rsid w:val="00C158A4"/>
    <w:rsid w:val="00C43334"/>
    <w:rsid w:val="00C439DD"/>
    <w:rsid w:val="00C51B94"/>
    <w:rsid w:val="00C551A2"/>
    <w:rsid w:val="00C756A1"/>
    <w:rsid w:val="00C8269E"/>
    <w:rsid w:val="00C87260"/>
    <w:rsid w:val="00C9380E"/>
    <w:rsid w:val="00C93C9F"/>
    <w:rsid w:val="00C97960"/>
    <w:rsid w:val="00CA08C4"/>
    <w:rsid w:val="00CB1094"/>
    <w:rsid w:val="00CD3594"/>
    <w:rsid w:val="00CD6C98"/>
    <w:rsid w:val="00CE0283"/>
    <w:rsid w:val="00CF2B83"/>
    <w:rsid w:val="00CF33FA"/>
    <w:rsid w:val="00CF4738"/>
    <w:rsid w:val="00D0350B"/>
    <w:rsid w:val="00D110D7"/>
    <w:rsid w:val="00D11FA2"/>
    <w:rsid w:val="00D21637"/>
    <w:rsid w:val="00D218A2"/>
    <w:rsid w:val="00D36951"/>
    <w:rsid w:val="00D3750C"/>
    <w:rsid w:val="00D4072E"/>
    <w:rsid w:val="00D47CC6"/>
    <w:rsid w:val="00D55DAC"/>
    <w:rsid w:val="00D7014D"/>
    <w:rsid w:val="00D73AE6"/>
    <w:rsid w:val="00D74E60"/>
    <w:rsid w:val="00D94749"/>
    <w:rsid w:val="00DA6918"/>
    <w:rsid w:val="00DA7501"/>
    <w:rsid w:val="00DB0442"/>
    <w:rsid w:val="00DB1CEA"/>
    <w:rsid w:val="00DB4D98"/>
    <w:rsid w:val="00DB7F65"/>
    <w:rsid w:val="00DC51AA"/>
    <w:rsid w:val="00DD1212"/>
    <w:rsid w:val="00DD19D3"/>
    <w:rsid w:val="00DE079B"/>
    <w:rsid w:val="00DE1518"/>
    <w:rsid w:val="00DE2F63"/>
    <w:rsid w:val="00E03036"/>
    <w:rsid w:val="00E03056"/>
    <w:rsid w:val="00E06EAE"/>
    <w:rsid w:val="00E10EB8"/>
    <w:rsid w:val="00E22A5E"/>
    <w:rsid w:val="00E341BC"/>
    <w:rsid w:val="00E362B9"/>
    <w:rsid w:val="00E56BB9"/>
    <w:rsid w:val="00E573EB"/>
    <w:rsid w:val="00E73B99"/>
    <w:rsid w:val="00EA0580"/>
    <w:rsid w:val="00EA48F1"/>
    <w:rsid w:val="00EA4AE5"/>
    <w:rsid w:val="00EA502D"/>
    <w:rsid w:val="00ED20BA"/>
    <w:rsid w:val="00EE1691"/>
    <w:rsid w:val="00EE18F3"/>
    <w:rsid w:val="00EE3901"/>
    <w:rsid w:val="00EF069A"/>
    <w:rsid w:val="00EF4E70"/>
    <w:rsid w:val="00EF78F3"/>
    <w:rsid w:val="00F00AC8"/>
    <w:rsid w:val="00F04D46"/>
    <w:rsid w:val="00F05D4F"/>
    <w:rsid w:val="00F0764C"/>
    <w:rsid w:val="00F13184"/>
    <w:rsid w:val="00F22B7D"/>
    <w:rsid w:val="00F27CEC"/>
    <w:rsid w:val="00F509F1"/>
    <w:rsid w:val="00F50F78"/>
    <w:rsid w:val="00F53CE2"/>
    <w:rsid w:val="00F63FB5"/>
    <w:rsid w:val="00F67EEA"/>
    <w:rsid w:val="00F86382"/>
    <w:rsid w:val="00FB2175"/>
    <w:rsid w:val="00FC2622"/>
    <w:rsid w:val="00FC443A"/>
    <w:rsid w:val="00FC7BBA"/>
    <w:rsid w:val="00FD3139"/>
    <w:rsid w:val="00FD62C3"/>
    <w:rsid w:val="00FE0870"/>
    <w:rsid w:val="00FF5460"/>
    <w:rsid w:val="00FF5DF1"/>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E0C13608-67B0-4112-9A88-9247DB48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Pr>
      <w:kern w:val="2"/>
      <w:sz w:val="18"/>
      <w:szCs w:val="18"/>
    </w:rPr>
  </w:style>
  <w:style w:type="character" w:styleId="a4">
    <w:name w:val="Hyperlink"/>
    <w:rPr>
      <w:color w:val="0000FF"/>
      <w:u w:val="single"/>
    </w:rPr>
  </w:style>
  <w:style w:type="character" w:styleId="a5">
    <w:name w:val="page number"/>
    <w:basedOn w:val="a0"/>
  </w:style>
  <w:style w:type="paragraph" w:styleId="a6">
    <w:name w:val="footer"/>
    <w:basedOn w:val="a"/>
    <w:pPr>
      <w:tabs>
        <w:tab w:val="center" w:pos="4153"/>
        <w:tab w:val="right" w:pos="8306"/>
      </w:tabs>
      <w:snapToGrid w:val="0"/>
      <w:jc w:val="left"/>
    </w:pPr>
    <w:rPr>
      <w:sz w:val="18"/>
      <w:szCs w:val="18"/>
    </w:rPr>
  </w:style>
  <w:style w:type="paragraph" w:styleId="a7">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8">
    <w:name w:val="annotation text"/>
    <w:basedOn w:val="a"/>
    <w:pPr>
      <w:jc w:val="left"/>
    </w:pPr>
  </w:style>
  <w:style w:type="paragraph" w:customStyle="1" w:styleId="CharCharCharChar">
    <w:name w:val=" Char Char Char Char"/>
    <w:basedOn w:val="a"/>
  </w:style>
  <w:style w:type="paragraph" w:customStyle="1" w:styleId="CharCharCharCharCharCharCharCharChar">
    <w:name w:val=" 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C8CC-2232-4C50-8735-CC2AAA9E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PresentationFormat/>
  <Lines>33</Lines>
  <Paragraphs>9</Paragraphs>
  <Slides>0</Slides>
  <Notes>0</Notes>
  <HiddenSlides>0</HiddenSlides>
  <MMClips>0</MMClips>
  <ScaleCrop>false</ScaleCrop>
  <Manager/>
  <Company>yixin</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1</cp:revision>
  <cp:lastPrinted>2015-01-22T23:59:00Z</cp:lastPrinted>
  <dcterms:created xsi:type="dcterms:W3CDTF">2021-12-31T00:35:00Z</dcterms:created>
  <dcterms:modified xsi:type="dcterms:W3CDTF">2021-12-31T00:35:00Z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