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F55" w:rsidRDefault="00E00F55" w:rsidP="00CD3594">
      <w:pPr>
        <w:rPr>
          <w:rFonts w:ascii="宋体" w:hAnsi="宋体"/>
          <w:color w:val="000000"/>
          <w:sz w:val="36"/>
        </w:rPr>
      </w:pPr>
      <w:r>
        <w:rPr>
          <w:rFonts w:ascii="宋体" w:hAnsi="宋体" w:hint="eastAsia"/>
          <w:color w:val="000000"/>
          <w:sz w:val="36"/>
        </w:rPr>
        <w:t xml:space="preserve"> “</w:t>
      </w:r>
      <w:r w:rsidRPr="00B65EBE">
        <w:rPr>
          <w:rFonts w:ascii="宋体" w:hAnsi="宋体"/>
          <w:noProof/>
          <w:color w:val="000000"/>
          <w:sz w:val="36"/>
        </w:rPr>
        <w:t>汇富增盈B210027</w:t>
      </w:r>
      <w:r>
        <w:rPr>
          <w:rFonts w:ascii="宋体" w:hAnsi="宋体" w:hint="eastAsia"/>
          <w:color w:val="000000"/>
          <w:sz w:val="36"/>
        </w:rPr>
        <w:t>”期人民币理财产品</w:t>
      </w:r>
      <w:r>
        <w:rPr>
          <w:rFonts w:ascii="宋体" w:hAnsi="宋体"/>
          <w:color w:val="000000"/>
          <w:sz w:val="36"/>
        </w:rPr>
        <w:t>说明书</w:t>
      </w:r>
    </w:p>
    <w:p w:rsidR="00E00F55" w:rsidRDefault="00E00F55">
      <w:pPr>
        <w:pStyle w:val="a8"/>
        <w:widowControl w:val="0"/>
        <w:snapToGrid w:val="0"/>
        <w:spacing w:before="0" w:after="0" w:line="240" w:lineRule="auto"/>
        <w:ind w:firstLine="0"/>
        <w:jc w:val="center"/>
        <w:rPr>
          <w:rFonts w:ascii="黑体" w:eastAsia="黑体" w:hAnsi="宋体"/>
        </w:rPr>
      </w:pPr>
      <w:r>
        <w:rPr>
          <w:rFonts w:ascii="黑体" w:eastAsia="黑体" w:hAnsi="宋体" w:hint="eastAsia"/>
        </w:rPr>
        <w:t xml:space="preserve"> “理财非存款、产品有风险、投资须谨慎”！</w:t>
      </w:r>
    </w:p>
    <w:p w:rsidR="00E00F55" w:rsidRDefault="00E00F55" w:rsidP="00292BE8">
      <w:pPr>
        <w:pStyle w:val="a8"/>
        <w:widowControl w:val="0"/>
        <w:snapToGrid w:val="0"/>
        <w:spacing w:before="0" w:after="0" w:line="240" w:lineRule="auto"/>
        <w:ind w:firstLineChars="200" w:firstLine="482"/>
        <w:jc w:val="both"/>
        <w:rPr>
          <w:rFonts w:ascii="宋体" w:hAnsi="宋体"/>
          <w:b/>
        </w:rPr>
      </w:pPr>
      <w:r>
        <w:rPr>
          <w:rFonts w:ascii="宋体" w:hAnsi="宋体" w:hint="eastAsia"/>
          <w:b/>
        </w:rPr>
        <w:t>第一条  产品基本要素</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16"/>
        <w:gridCol w:w="7169"/>
      </w:tblGrid>
      <w:tr w:rsidR="00E00F55"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E00F55" w:rsidRDefault="00E00F55">
            <w:pPr>
              <w:rPr>
                <w:rFonts w:ascii="宋体" w:hAnsi="宋体"/>
                <w:sz w:val="18"/>
                <w:szCs w:val="18"/>
              </w:rPr>
            </w:pPr>
            <w:r>
              <w:rPr>
                <w:rFonts w:ascii="宋体" w:hAnsi="宋体" w:hint="eastAsia"/>
                <w:sz w:val="18"/>
                <w:szCs w:val="18"/>
              </w:rPr>
              <w:t>产品名称</w:t>
            </w:r>
          </w:p>
        </w:tc>
        <w:tc>
          <w:tcPr>
            <w:tcW w:w="7169" w:type="dxa"/>
            <w:tcBorders>
              <w:top w:val="single" w:sz="4" w:space="0" w:color="auto"/>
              <w:left w:val="single" w:sz="4" w:space="0" w:color="auto"/>
              <w:bottom w:val="single" w:sz="4" w:space="0" w:color="auto"/>
              <w:right w:val="single" w:sz="4" w:space="0" w:color="auto"/>
            </w:tcBorders>
            <w:vAlign w:val="center"/>
          </w:tcPr>
          <w:p w:rsidR="00E00F55" w:rsidRDefault="00E00F55">
            <w:pPr>
              <w:rPr>
                <w:rFonts w:ascii="宋体" w:hAnsi="宋体"/>
                <w:sz w:val="18"/>
                <w:szCs w:val="18"/>
              </w:rPr>
            </w:pPr>
            <w:r w:rsidRPr="00B65EBE">
              <w:rPr>
                <w:rFonts w:ascii="宋体" w:hAnsi="宋体"/>
                <w:noProof/>
                <w:sz w:val="18"/>
                <w:szCs w:val="18"/>
              </w:rPr>
              <w:t>汇富增盈B210027</w:t>
            </w:r>
          </w:p>
        </w:tc>
      </w:tr>
      <w:tr w:rsidR="00E00F55" w:rsidTr="00C73D31">
        <w:trPr>
          <w:cantSplit/>
          <w:trHeight w:val="503"/>
          <w:jc w:val="center"/>
        </w:trPr>
        <w:tc>
          <w:tcPr>
            <w:tcW w:w="1516" w:type="dxa"/>
            <w:tcBorders>
              <w:top w:val="single" w:sz="4" w:space="0" w:color="auto"/>
              <w:left w:val="single" w:sz="4" w:space="0" w:color="auto"/>
              <w:right w:val="single" w:sz="4" w:space="0" w:color="auto"/>
            </w:tcBorders>
            <w:vAlign w:val="center"/>
          </w:tcPr>
          <w:p w:rsidR="00E00F55" w:rsidRDefault="00E00F55" w:rsidP="00ED20BA">
            <w:pPr>
              <w:rPr>
                <w:rFonts w:ascii="宋体" w:hAnsi="宋体"/>
                <w:sz w:val="18"/>
                <w:szCs w:val="18"/>
              </w:rPr>
            </w:pPr>
            <w:r>
              <w:rPr>
                <w:rFonts w:ascii="宋体" w:hAnsi="宋体" w:hint="eastAsia"/>
                <w:sz w:val="18"/>
                <w:szCs w:val="18"/>
              </w:rPr>
              <w:t>中国</w:t>
            </w:r>
            <w:r>
              <w:rPr>
                <w:rFonts w:ascii="宋体" w:hAnsi="宋体"/>
                <w:sz w:val="18"/>
                <w:szCs w:val="18"/>
              </w:rPr>
              <w:t>理财网产品登记编码</w:t>
            </w:r>
          </w:p>
        </w:tc>
        <w:tc>
          <w:tcPr>
            <w:tcW w:w="7169" w:type="dxa"/>
            <w:tcBorders>
              <w:top w:val="single" w:sz="4" w:space="0" w:color="auto"/>
              <w:left w:val="single" w:sz="4" w:space="0" w:color="auto"/>
              <w:right w:val="single" w:sz="4" w:space="0" w:color="auto"/>
            </w:tcBorders>
            <w:vAlign w:val="center"/>
          </w:tcPr>
          <w:p w:rsidR="00E00F55" w:rsidRDefault="00E00F55" w:rsidP="00ED20BA">
            <w:pPr>
              <w:rPr>
                <w:rFonts w:ascii="宋体" w:hAnsi="宋体"/>
                <w:sz w:val="18"/>
                <w:szCs w:val="18"/>
              </w:rPr>
            </w:pPr>
            <w:r w:rsidRPr="00B65EBE">
              <w:rPr>
                <w:rFonts w:ascii="宋体" w:hAnsi="宋体"/>
                <w:noProof/>
                <w:sz w:val="18"/>
                <w:szCs w:val="18"/>
              </w:rPr>
              <w:t>C1141021000085</w:t>
            </w:r>
            <w:r w:rsidRPr="00600CAB">
              <w:rPr>
                <w:rFonts w:ascii="宋体" w:hAnsi="宋体" w:hint="eastAsia"/>
                <w:b/>
                <w:sz w:val="18"/>
                <w:szCs w:val="18"/>
              </w:rPr>
              <w:t>（投资者</w:t>
            </w:r>
            <w:r w:rsidRPr="00600CAB">
              <w:rPr>
                <w:rFonts w:ascii="宋体" w:hAnsi="宋体"/>
                <w:b/>
                <w:sz w:val="18"/>
                <w:szCs w:val="18"/>
              </w:rPr>
              <w:t>可根据</w:t>
            </w:r>
            <w:r w:rsidRPr="00600CAB">
              <w:rPr>
                <w:rFonts w:ascii="宋体" w:hAnsi="宋体" w:hint="eastAsia"/>
                <w:b/>
                <w:sz w:val="18"/>
                <w:szCs w:val="18"/>
              </w:rPr>
              <w:t>登记编码</w:t>
            </w:r>
            <w:r w:rsidRPr="00600CAB">
              <w:rPr>
                <w:rFonts w:ascii="宋体" w:hAnsi="宋体"/>
                <w:b/>
                <w:sz w:val="18"/>
                <w:szCs w:val="18"/>
              </w:rPr>
              <w:t>在中国理财网（</w:t>
            </w:r>
            <w:r w:rsidRPr="00600CAB">
              <w:rPr>
                <w:rFonts w:ascii="宋体" w:hAnsi="宋体" w:hint="eastAsia"/>
                <w:b/>
                <w:sz w:val="18"/>
                <w:szCs w:val="18"/>
              </w:rPr>
              <w:t>www.chinawealth.com.cn</w:t>
            </w:r>
            <w:r w:rsidRPr="00600CAB">
              <w:rPr>
                <w:rFonts w:ascii="宋体" w:hAnsi="宋体"/>
                <w:b/>
                <w:sz w:val="18"/>
                <w:szCs w:val="18"/>
              </w:rPr>
              <w:t>）</w:t>
            </w:r>
            <w:r w:rsidRPr="00600CAB">
              <w:rPr>
                <w:rFonts w:ascii="宋体" w:hAnsi="宋体" w:hint="eastAsia"/>
                <w:b/>
                <w:sz w:val="18"/>
                <w:szCs w:val="18"/>
              </w:rPr>
              <w:t>查询</w:t>
            </w:r>
            <w:r w:rsidRPr="00600CAB">
              <w:rPr>
                <w:rFonts w:ascii="宋体" w:hAnsi="宋体"/>
                <w:b/>
                <w:sz w:val="18"/>
                <w:szCs w:val="18"/>
              </w:rPr>
              <w:t>产品信息</w:t>
            </w:r>
            <w:r w:rsidRPr="00600CAB">
              <w:rPr>
                <w:rFonts w:ascii="宋体" w:hAnsi="宋体" w:hint="eastAsia"/>
                <w:b/>
                <w:sz w:val="18"/>
                <w:szCs w:val="18"/>
              </w:rPr>
              <w:t>）</w:t>
            </w:r>
          </w:p>
        </w:tc>
      </w:tr>
      <w:tr w:rsidR="00E00F55"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E00F55" w:rsidRDefault="00E00F55">
            <w:pPr>
              <w:rPr>
                <w:rFonts w:ascii="宋体" w:hAnsi="宋体"/>
                <w:sz w:val="18"/>
                <w:szCs w:val="18"/>
              </w:rPr>
            </w:pPr>
            <w:r>
              <w:rPr>
                <w:rFonts w:ascii="宋体" w:hAnsi="宋体" w:hint="eastAsia"/>
                <w:sz w:val="18"/>
                <w:szCs w:val="18"/>
              </w:rPr>
              <w:t>销售地区</w:t>
            </w:r>
          </w:p>
        </w:tc>
        <w:tc>
          <w:tcPr>
            <w:tcW w:w="7169" w:type="dxa"/>
            <w:tcBorders>
              <w:top w:val="single" w:sz="4" w:space="0" w:color="auto"/>
              <w:left w:val="single" w:sz="4" w:space="0" w:color="auto"/>
              <w:bottom w:val="single" w:sz="4" w:space="0" w:color="auto"/>
              <w:right w:val="single" w:sz="4" w:space="0" w:color="auto"/>
            </w:tcBorders>
            <w:vAlign w:val="center"/>
          </w:tcPr>
          <w:p w:rsidR="00E00F55" w:rsidRDefault="00E00F55">
            <w:pPr>
              <w:rPr>
                <w:rFonts w:ascii="宋体" w:hAnsi="宋体"/>
                <w:sz w:val="18"/>
                <w:szCs w:val="18"/>
              </w:rPr>
            </w:pPr>
            <w:r>
              <w:rPr>
                <w:rFonts w:ascii="宋体" w:hAnsi="宋体" w:hint="eastAsia"/>
                <w:sz w:val="18"/>
                <w:szCs w:val="18"/>
              </w:rPr>
              <w:t>如皋农村商业银行各营业网点、网上银行</w:t>
            </w:r>
          </w:p>
        </w:tc>
      </w:tr>
      <w:tr w:rsidR="00E00F55"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E00F55" w:rsidRDefault="00E00F55">
            <w:pPr>
              <w:rPr>
                <w:rFonts w:ascii="宋体" w:hAnsi="宋体"/>
                <w:sz w:val="18"/>
                <w:szCs w:val="18"/>
              </w:rPr>
            </w:pPr>
            <w:r>
              <w:rPr>
                <w:rFonts w:ascii="宋体" w:hAnsi="宋体" w:hint="eastAsia"/>
                <w:sz w:val="18"/>
                <w:szCs w:val="18"/>
              </w:rPr>
              <w:t>产品类别</w:t>
            </w:r>
          </w:p>
        </w:tc>
        <w:tc>
          <w:tcPr>
            <w:tcW w:w="7169" w:type="dxa"/>
            <w:tcBorders>
              <w:top w:val="single" w:sz="4" w:space="0" w:color="auto"/>
              <w:left w:val="single" w:sz="4" w:space="0" w:color="auto"/>
              <w:bottom w:val="single" w:sz="4" w:space="0" w:color="auto"/>
              <w:right w:val="single" w:sz="4" w:space="0" w:color="auto"/>
            </w:tcBorders>
            <w:vAlign w:val="center"/>
          </w:tcPr>
          <w:p w:rsidR="00E00F55" w:rsidRDefault="00E00F55">
            <w:pPr>
              <w:rPr>
                <w:rFonts w:ascii="宋体" w:hAnsi="宋体"/>
                <w:sz w:val="18"/>
                <w:szCs w:val="18"/>
              </w:rPr>
            </w:pPr>
            <w:r>
              <w:rPr>
                <w:rFonts w:ascii="宋体" w:hAnsi="宋体" w:hint="eastAsia"/>
                <w:sz w:val="18"/>
                <w:szCs w:val="18"/>
              </w:rPr>
              <w:t>组合投资类</w:t>
            </w:r>
          </w:p>
        </w:tc>
      </w:tr>
      <w:tr w:rsidR="00E00F55"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E00F55" w:rsidRDefault="00E00F55">
            <w:pPr>
              <w:rPr>
                <w:rFonts w:ascii="宋体" w:hAnsi="宋体"/>
                <w:sz w:val="18"/>
                <w:szCs w:val="18"/>
              </w:rPr>
            </w:pPr>
            <w:r>
              <w:rPr>
                <w:rFonts w:ascii="宋体" w:hAnsi="宋体" w:hint="eastAsia"/>
                <w:sz w:val="18"/>
                <w:szCs w:val="18"/>
              </w:rPr>
              <w:t>产品类型</w:t>
            </w:r>
          </w:p>
        </w:tc>
        <w:tc>
          <w:tcPr>
            <w:tcW w:w="7169" w:type="dxa"/>
            <w:tcBorders>
              <w:top w:val="single" w:sz="4" w:space="0" w:color="auto"/>
              <w:left w:val="single" w:sz="4" w:space="0" w:color="auto"/>
              <w:bottom w:val="single" w:sz="4" w:space="0" w:color="auto"/>
              <w:right w:val="single" w:sz="4" w:space="0" w:color="auto"/>
            </w:tcBorders>
            <w:vAlign w:val="center"/>
          </w:tcPr>
          <w:p w:rsidR="00E00F55" w:rsidRDefault="00E00F55">
            <w:pPr>
              <w:rPr>
                <w:rFonts w:ascii="宋体" w:hAnsi="宋体"/>
                <w:sz w:val="18"/>
                <w:szCs w:val="18"/>
              </w:rPr>
            </w:pPr>
            <w:r>
              <w:rPr>
                <w:rFonts w:ascii="宋体" w:hAnsi="宋体" w:hint="eastAsia"/>
                <w:sz w:val="18"/>
                <w:szCs w:val="18"/>
              </w:rPr>
              <w:t>非保本浮动收益型</w:t>
            </w:r>
          </w:p>
        </w:tc>
      </w:tr>
      <w:tr w:rsidR="00E00F55"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E00F55" w:rsidRDefault="00E00F55">
            <w:pPr>
              <w:rPr>
                <w:rFonts w:ascii="宋体" w:hAnsi="宋体"/>
                <w:sz w:val="18"/>
                <w:szCs w:val="18"/>
              </w:rPr>
            </w:pPr>
            <w:r>
              <w:rPr>
                <w:rFonts w:ascii="宋体" w:hAnsi="宋体" w:hint="eastAsia"/>
                <w:sz w:val="18"/>
                <w:szCs w:val="18"/>
              </w:rPr>
              <w:t>认购日期</w:t>
            </w:r>
          </w:p>
        </w:tc>
        <w:tc>
          <w:tcPr>
            <w:tcW w:w="7169" w:type="dxa"/>
            <w:tcBorders>
              <w:top w:val="single" w:sz="4" w:space="0" w:color="auto"/>
              <w:left w:val="single" w:sz="4" w:space="0" w:color="auto"/>
              <w:bottom w:val="single" w:sz="4" w:space="0" w:color="auto"/>
              <w:right w:val="single" w:sz="4" w:space="0" w:color="auto"/>
            </w:tcBorders>
            <w:vAlign w:val="center"/>
          </w:tcPr>
          <w:p w:rsidR="00E00F55" w:rsidRDefault="00E00F55" w:rsidP="009259E4">
            <w:pPr>
              <w:rPr>
                <w:rFonts w:ascii="宋体" w:hAnsi="宋体"/>
                <w:noProof/>
                <w:sz w:val="18"/>
                <w:szCs w:val="18"/>
              </w:rPr>
            </w:pPr>
            <w:r>
              <w:rPr>
                <w:rFonts w:ascii="宋体" w:hAnsi="宋体"/>
                <w:noProof/>
                <w:sz w:val="18"/>
                <w:szCs w:val="18"/>
              </w:rPr>
              <w:t>2021年07月22日</w:t>
            </w:r>
            <w:r>
              <w:rPr>
                <w:rFonts w:ascii="宋体" w:hAnsi="宋体" w:hint="eastAsia"/>
                <w:sz w:val="18"/>
                <w:szCs w:val="18"/>
              </w:rPr>
              <w:t>-</w:t>
            </w:r>
            <w:r>
              <w:rPr>
                <w:rFonts w:ascii="宋体" w:hAnsi="宋体"/>
                <w:noProof/>
                <w:sz w:val="18"/>
                <w:szCs w:val="18"/>
              </w:rPr>
              <w:t>2021年07月29日</w:t>
            </w:r>
          </w:p>
        </w:tc>
      </w:tr>
      <w:tr w:rsidR="00E00F55"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E00F55" w:rsidRDefault="00E00F55">
            <w:pPr>
              <w:rPr>
                <w:rFonts w:ascii="宋体" w:hAnsi="宋体"/>
                <w:sz w:val="18"/>
                <w:szCs w:val="18"/>
              </w:rPr>
            </w:pPr>
            <w:r>
              <w:rPr>
                <w:rFonts w:ascii="宋体" w:hAnsi="宋体" w:hint="eastAsia"/>
                <w:sz w:val="18"/>
                <w:szCs w:val="18"/>
              </w:rPr>
              <w:t>理财期限</w:t>
            </w:r>
          </w:p>
        </w:tc>
        <w:tc>
          <w:tcPr>
            <w:tcW w:w="7169" w:type="dxa"/>
            <w:tcBorders>
              <w:top w:val="single" w:sz="4" w:space="0" w:color="auto"/>
              <w:left w:val="single" w:sz="4" w:space="0" w:color="auto"/>
              <w:bottom w:val="single" w:sz="4" w:space="0" w:color="auto"/>
              <w:right w:val="single" w:sz="4" w:space="0" w:color="auto"/>
            </w:tcBorders>
            <w:vAlign w:val="center"/>
          </w:tcPr>
          <w:p w:rsidR="00E00F55" w:rsidRDefault="00E00F55">
            <w:pPr>
              <w:rPr>
                <w:rFonts w:ascii="宋体" w:hAnsi="宋体"/>
                <w:sz w:val="18"/>
                <w:szCs w:val="18"/>
              </w:rPr>
            </w:pPr>
            <w:r w:rsidRPr="00B65EBE">
              <w:rPr>
                <w:rFonts w:ascii="宋体" w:hAnsi="宋体"/>
                <w:noProof/>
                <w:sz w:val="18"/>
                <w:szCs w:val="18"/>
              </w:rPr>
              <w:t>33</w:t>
            </w:r>
            <w:r>
              <w:rPr>
                <w:rFonts w:ascii="宋体" w:hAnsi="宋体" w:hint="eastAsia"/>
                <w:sz w:val="18"/>
                <w:szCs w:val="18"/>
              </w:rPr>
              <w:t>天</w:t>
            </w:r>
          </w:p>
        </w:tc>
      </w:tr>
      <w:tr w:rsidR="00E00F55"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E00F55" w:rsidRDefault="00E00F55">
            <w:pPr>
              <w:rPr>
                <w:rFonts w:ascii="宋体" w:hAnsi="宋体"/>
                <w:sz w:val="18"/>
                <w:szCs w:val="18"/>
              </w:rPr>
            </w:pPr>
            <w:r>
              <w:rPr>
                <w:rFonts w:ascii="宋体" w:hAnsi="宋体" w:hint="eastAsia"/>
                <w:sz w:val="18"/>
                <w:szCs w:val="18"/>
              </w:rPr>
              <w:t>预计计算投资收益起始日</w:t>
            </w:r>
          </w:p>
        </w:tc>
        <w:tc>
          <w:tcPr>
            <w:tcW w:w="7169" w:type="dxa"/>
            <w:tcBorders>
              <w:top w:val="single" w:sz="4" w:space="0" w:color="auto"/>
              <w:left w:val="single" w:sz="4" w:space="0" w:color="auto"/>
              <w:bottom w:val="single" w:sz="4" w:space="0" w:color="auto"/>
              <w:right w:val="single" w:sz="4" w:space="0" w:color="auto"/>
            </w:tcBorders>
            <w:vAlign w:val="center"/>
          </w:tcPr>
          <w:p w:rsidR="00E00F55" w:rsidRDefault="00E00F55" w:rsidP="003A5995">
            <w:pPr>
              <w:rPr>
                <w:rFonts w:ascii="宋体" w:hAnsi="宋体"/>
                <w:sz w:val="18"/>
                <w:szCs w:val="18"/>
              </w:rPr>
            </w:pPr>
            <w:r>
              <w:rPr>
                <w:rFonts w:ascii="宋体" w:hAnsi="宋体"/>
                <w:noProof/>
                <w:sz w:val="18"/>
                <w:szCs w:val="18"/>
              </w:rPr>
              <w:t>2021年07月30日</w:t>
            </w:r>
          </w:p>
        </w:tc>
      </w:tr>
      <w:tr w:rsidR="00E00F55"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E00F55" w:rsidRDefault="00E00F55">
            <w:pPr>
              <w:rPr>
                <w:rFonts w:ascii="宋体" w:hAnsi="宋体"/>
                <w:sz w:val="18"/>
                <w:szCs w:val="18"/>
              </w:rPr>
            </w:pPr>
            <w:r>
              <w:rPr>
                <w:rFonts w:ascii="宋体" w:hAnsi="宋体" w:hint="eastAsia"/>
                <w:sz w:val="18"/>
                <w:szCs w:val="18"/>
              </w:rPr>
              <w:t>名义到期日</w:t>
            </w:r>
          </w:p>
        </w:tc>
        <w:tc>
          <w:tcPr>
            <w:tcW w:w="7169" w:type="dxa"/>
            <w:tcBorders>
              <w:top w:val="single" w:sz="4" w:space="0" w:color="auto"/>
              <w:left w:val="single" w:sz="4" w:space="0" w:color="auto"/>
              <w:bottom w:val="single" w:sz="4" w:space="0" w:color="auto"/>
              <w:right w:val="single" w:sz="4" w:space="0" w:color="auto"/>
            </w:tcBorders>
            <w:vAlign w:val="center"/>
          </w:tcPr>
          <w:p w:rsidR="00E00F55" w:rsidRDefault="00E00F55">
            <w:pPr>
              <w:rPr>
                <w:rFonts w:ascii="宋体" w:hAnsi="宋体"/>
                <w:sz w:val="18"/>
                <w:szCs w:val="18"/>
              </w:rPr>
            </w:pPr>
            <w:r>
              <w:rPr>
                <w:rFonts w:ascii="宋体" w:hAnsi="宋体"/>
                <w:noProof/>
                <w:sz w:val="18"/>
                <w:szCs w:val="18"/>
              </w:rPr>
              <w:t>2021年09月01日</w:t>
            </w:r>
          </w:p>
        </w:tc>
      </w:tr>
      <w:tr w:rsidR="00E00F55"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E00F55" w:rsidRDefault="00E00F55">
            <w:pPr>
              <w:rPr>
                <w:rFonts w:ascii="宋体" w:hAnsi="宋体"/>
                <w:sz w:val="18"/>
                <w:szCs w:val="18"/>
              </w:rPr>
            </w:pPr>
            <w:r>
              <w:rPr>
                <w:rFonts w:ascii="宋体" w:hAnsi="宋体" w:hint="eastAsia"/>
                <w:sz w:val="18"/>
                <w:szCs w:val="18"/>
              </w:rPr>
              <w:t>实际到期日</w:t>
            </w:r>
          </w:p>
        </w:tc>
        <w:tc>
          <w:tcPr>
            <w:tcW w:w="7169" w:type="dxa"/>
            <w:tcBorders>
              <w:top w:val="single" w:sz="4" w:space="0" w:color="auto"/>
              <w:left w:val="single" w:sz="4" w:space="0" w:color="auto"/>
              <w:bottom w:val="single" w:sz="4" w:space="0" w:color="auto"/>
              <w:right w:val="single" w:sz="4" w:space="0" w:color="auto"/>
            </w:tcBorders>
            <w:vAlign w:val="center"/>
          </w:tcPr>
          <w:p w:rsidR="00E00F55" w:rsidRDefault="00E00F55">
            <w:pPr>
              <w:rPr>
                <w:rFonts w:ascii="宋体" w:hAnsi="宋体"/>
                <w:sz w:val="18"/>
                <w:szCs w:val="18"/>
              </w:rPr>
            </w:pPr>
            <w:r>
              <w:rPr>
                <w:rFonts w:ascii="宋体" w:hAnsi="宋体"/>
                <w:noProof/>
                <w:sz w:val="18"/>
                <w:szCs w:val="18"/>
              </w:rPr>
              <w:t>2021年09月02日</w:t>
            </w:r>
          </w:p>
        </w:tc>
      </w:tr>
      <w:tr w:rsidR="00E00F55" w:rsidTr="00C73D31">
        <w:trPr>
          <w:cantSplit/>
          <w:trHeight w:val="503"/>
          <w:jc w:val="center"/>
        </w:trPr>
        <w:tc>
          <w:tcPr>
            <w:tcW w:w="1516" w:type="dxa"/>
            <w:tcBorders>
              <w:top w:val="single" w:sz="4" w:space="0" w:color="auto"/>
              <w:left w:val="single" w:sz="4" w:space="0" w:color="auto"/>
              <w:right w:val="single" w:sz="4" w:space="0" w:color="auto"/>
            </w:tcBorders>
            <w:vAlign w:val="center"/>
          </w:tcPr>
          <w:p w:rsidR="00E00F55" w:rsidRDefault="00E00F55">
            <w:pPr>
              <w:rPr>
                <w:rFonts w:ascii="宋体" w:hAnsi="宋体"/>
                <w:sz w:val="18"/>
                <w:szCs w:val="18"/>
              </w:rPr>
            </w:pPr>
            <w:r>
              <w:rPr>
                <w:rFonts w:ascii="宋体" w:hAnsi="宋体" w:hint="eastAsia"/>
                <w:sz w:val="18"/>
                <w:szCs w:val="18"/>
              </w:rPr>
              <w:t>行内标识码/产品代号</w:t>
            </w:r>
          </w:p>
        </w:tc>
        <w:tc>
          <w:tcPr>
            <w:tcW w:w="7169" w:type="dxa"/>
            <w:tcBorders>
              <w:top w:val="single" w:sz="4" w:space="0" w:color="auto"/>
              <w:left w:val="single" w:sz="4" w:space="0" w:color="auto"/>
              <w:right w:val="single" w:sz="4" w:space="0" w:color="auto"/>
            </w:tcBorders>
            <w:vAlign w:val="center"/>
          </w:tcPr>
          <w:p w:rsidR="00E00F55" w:rsidRDefault="00E00F55">
            <w:pPr>
              <w:rPr>
                <w:rFonts w:ascii="宋体" w:hAnsi="宋体"/>
                <w:sz w:val="18"/>
                <w:szCs w:val="18"/>
              </w:rPr>
            </w:pPr>
            <w:r w:rsidRPr="00B65EBE">
              <w:rPr>
                <w:rFonts w:ascii="宋体" w:hAnsi="宋体"/>
                <w:noProof/>
                <w:sz w:val="18"/>
                <w:szCs w:val="18"/>
              </w:rPr>
              <w:t>HFZYB210027</w:t>
            </w:r>
          </w:p>
        </w:tc>
      </w:tr>
      <w:tr w:rsidR="00E00F55" w:rsidTr="00C73D31">
        <w:trPr>
          <w:cantSplit/>
          <w:trHeight w:val="503"/>
          <w:jc w:val="center"/>
        </w:trPr>
        <w:tc>
          <w:tcPr>
            <w:tcW w:w="1516" w:type="dxa"/>
            <w:tcBorders>
              <w:top w:val="single" w:sz="4" w:space="0" w:color="auto"/>
              <w:left w:val="single" w:sz="4" w:space="0" w:color="auto"/>
              <w:right w:val="single" w:sz="4" w:space="0" w:color="auto"/>
            </w:tcBorders>
            <w:vAlign w:val="center"/>
          </w:tcPr>
          <w:p w:rsidR="00E00F55" w:rsidRDefault="00E00F55">
            <w:pPr>
              <w:rPr>
                <w:rFonts w:ascii="宋体" w:hAnsi="宋体"/>
                <w:sz w:val="18"/>
                <w:szCs w:val="18"/>
              </w:rPr>
            </w:pPr>
            <w:r>
              <w:rPr>
                <w:rFonts w:ascii="宋体" w:hAnsi="宋体" w:hint="eastAsia"/>
                <w:sz w:val="18"/>
                <w:szCs w:val="18"/>
              </w:rPr>
              <w:t>投资起点金额</w:t>
            </w:r>
          </w:p>
        </w:tc>
        <w:tc>
          <w:tcPr>
            <w:tcW w:w="7169" w:type="dxa"/>
            <w:tcBorders>
              <w:top w:val="single" w:sz="4" w:space="0" w:color="auto"/>
              <w:left w:val="single" w:sz="4" w:space="0" w:color="auto"/>
              <w:right w:val="single" w:sz="4" w:space="0" w:color="auto"/>
            </w:tcBorders>
            <w:vAlign w:val="center"/>
          </w:tcPr>
          <w:p w:rsidR="00E00F55" w:rsidRDefault="00E00F55">
            <w:pPr>
              <w:rPr>
                <w:rFonts w:ascii="宋体" w:hAnsi="宋体"/>
                <w:sz w:val="18"/>
                <w:szCs w:val="18"/>
              </w:rPr>
            </w:pPr>
            <w:r>
              <w:rPr>
                <w:rFonts w:ascii="宋体" w:hAnsi="宋体"/>
                <w:sz w:val="18"/>
                <w:szCs w:val="18"/>
              </w:rPr>
              <w:t>1</w:t>
            </w:r>
            <w:r>
              <w:rPr>
                <w:rFonts w:ascii="宋体" w:hAnsi="宋体" w:hint="eastAsia"/>
                <w:sz w:val="18"/>
                <w:szCs w:val="18"/>
              </w:rPr>
              <w:t>万元（含）人民币，以1千元的整数倍递增。</w:t>
            </w:r>
          </w:p>
        </w:tc>
      </w:tr>
      <w:tr w:rsidR="00E00F55"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E00F55" w:rsidRDefault="00E00F55">
            <w:pPr>
              <w:rPr>
                <w:rFonts w:ascii="宋体" w:hAnsi="宋体"/>
                <w:sz w:val="18"/>
                <w:szCs w:val="18"/>
              </w:rPr>
            </w:pPr>
            <w:r>
              <w:rPr>
                <w:rFonts w:ascii="宋体" w:hAnsi="宋体" w:hint="eastAsia"/>
                <w:sz w:val="18"/>
                <w:szCs w:val="18"/>
              </w:rPr>
              <w:t>经测算可能达到的年化收益率</w:t>
            </w:r>
          </w:p>
        </w:tc>
        <w:tc>
          <w:tcPr>
            <w:tcW w:w="7169" w:type="dxa"/>
            <w:tcBorders>
              <w:top w:val="single" w:sz="4" w:space="0" w:color="auto"/>
              <w:left w:val="single" w:sz="4" w:space="0" w:color="auto"/>
              <w:bottom w:val="single" w:sz="4" w:space="0" w:color="auto"/>
              <w:right w:val="single" w:sz="4" w:space="0" w:color="auto"/>
            </w:tcBorders>
            <w:vAlign w:val="center"/>
          </w:tcPr>
          <w:p w:rsidR="00E00F55" w:rsidRDefault="00E00F55" w:rsidP="00331E0A">
            <w:pPr>
              <w:rPr>
                <w:rFonts w:ascii="宋体" w:hAnsi="宋体"/>
                <w:sz w:val="18"/>
                <w:szCs w:val="18"/>
              </w:rPr>
            </w:pPr>
            <w:bookmarkStart w:id="0" w:name="_GoBack"/>
            <w:bookmarkEnd w:id="0"/>
            <w:r w:rsidRPr="00B65EBE">
              <w:rPr>
                <w:rFonts w:ascii="宋体" w:hAnsi="宋体"/>
                <w:noProof/>
                <w:sz w:val="18"/>
                <w:szCs w:val="18"/>
              </w:rPr>
              <w:t>3.20</w:t>
            </w:r>
            <w:r>
              <w:rPr>
                <w:rFonts w:ascii="宋体" w:hAnsi="宋体" w:hint="eastAsia"/>
                <w:sz w:val="18"/>
                <w:szCs w:val="18"/>
              </w:rPr>
              <w:t>%（已扣除托管费等费率）</w:t>
            </w:r>
          </w:p>
        </w:tc>
      </w:tr>
      <w:tr w:rsidR="00E00F55"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E00F55" w:rsidRDefault="00E00F55">
            <w:pPr>
              <w:rPr>
                <w:rFonts w:ascii="宋体" w:hAnsi="宋体"/>
                <w:sz w:val="18"/>
                <w:szCs w:val="18"/>
              </w:rPr>
            </w:pPr>
            <w:r>
              <w:rPr>
                <w:rFonts w:ascii="宋体" w:hAnsi="宋体" w:hint="eastAsia"/>
                <w:sz w:val="18"/>
                <w:szCs w:val="18"/>
              </w:rPr>
              <w:t>收益计算说明</w:t>
            </w:r>
          </w:p>
        </w:tc>
        <w:tc>
          <w:tcPr>
            <w:tcW w:w="7169" w:type="dxa"/>
            <w:tcBorders>
              <w:top w:val="single" w:sz="4" w:space="0" w:color="auto"/>
              <w:left w:val="single" w:sz="4" w:space="0" w:color="auto"/>
              <w:bottom w:val="single" w:sz="4" w:space="0" w:color="auto"/>
              <w:right w:val="single" w:sz="4" w:space="0" w:color="auto"/>
            </w:tcBorders>
            <w:vAlign w:val="center"/>
          </w:tcPr>
          <w:p w:rsidR="00E00F55" w:rsidRDefault="00E00F55">
            <w:pPr>
              <w:autoSpaceDE w:val="0"/>
              <w:autoSpaceDN w:val="0"/>
              <w:adjustRightInd w:val="0"/>
              <w:rPr>
                <w:rFonts w:ascii="宋体" w:hAnsi="宋体"/>
                <w:sz w:val="18"/>
                <w:szCs w:val="18"/>
              </w:rPr>
            </w:pPr>
            <w:r>
              <w:rPr>
                <w:rFonts w:ascii="宋体" w:hAnsi="宋体" w:hint="eastAsia"/>
                <w:sz w:val="18"/>
                <w:szCs w:val="18"/>
              </w:rPr>
              <w:t>客户持有期收益=投资本金×本产品理财收益率（年化）×实际投资运行天数/365</w:t>
            </w:r>
          </w:p>
          <w:p w:rsidR="00E00F55" w:rsidRDefault="00E00F55">
            <w:pPr>
              <w:autoSpaceDE w:val="0"/>
              <w:autoSpaceDN w:val="0"/>
              <w:adjustRightInd w:val="0"/>
              <w:rPr>
                <w:rFonts w:ascii="宋体" w:hAnsi="宋体"/>
                <w:sz w:val="18"/>
                <w:szCs w:val="18"/>
              </w:rPr>
            </w:pPr>
            <w:r>
              <w:rPr>
                <w:rFonts w:ascii="宋体" w:hAnsi="宋体" w:hint="eastAsia"/>
                <w:sz w:val="18"/>
                <w:szCs w:val="18"/>
              </w:rPr>
              <w:t>本产品年化收益率=（标的物投资收益-相关费用）/本金/实际投资运行天数*365</w:t>
            </w:r>
          </w:p>
        </w:tc>
      </w:tr>
      <w:tr w:rsidR="00E00F55"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E00F55" w:rsidRDefault="00E00F55">
            <w:pPr>
              <w:rPr>
                <w:rFonts w:ascii="宋体" w:hAnsi="宋体"/>
                <w:sz w:val="18"/>
                <w:szCs w:val="18"/>
              </w:rPr>
            </w:pPr>
            <w:r>
              <w:rPr>
                <w:rFonts w:ascii="宋体" w:hAnsi="宋体" w:hint="eastAsia"/>
                <w:sz w:val="18"/>
                <w:szCs w:val="18"/>
              </w:rPr>
              <w:t>收益计算基础</w:t>
            </w:r>
          </w:p>
        </w:tc>
        <w:tc>
          <w:tcPr>
            <w:tcW w:w="7169" w:type="dxa"/>
            <w:tcBorders>
              <w:top w:val="single" w:sz="4" w:space="0" w:color="auto"/>
              <w:left w:val="single" w:sz="4" w:space="0" w:color="auto"/>
              <w:bottom w:val="single" w:sz="4" w:space="0" w:color="auto"/>
              <w:right w:val="single" w:sz="4" w:space="0" w:color="auto"/>
            </w:tcBorders>
            <w:vAlign w:val="center"/>
          </w:tcPr>
          <w:p w:rsidR="00E00F55" w:rsidRDefault="00E00F55">
            <w:pPr>
              <w:pStyle w:val="Default"/>
              <w:autoSpaceDE/>
              <w:autoSpaceDN/>
              <w:adjustRightInd/>
              <w:jc w:val="both"/>
              <w:rPr>
                <w:rFonts w:ascii="宋体" w:eastAsia="宋体" w:hAnsi="宋体"/>
                <w:color w:val="auto"/>
                <w:kern w:val="2"/>
                <w:sz w:val="18"/>
                <w:szCs w:val="18"/>
              </w:rPr>
            </w:pPr>
            <w:r>
              <w:rPr>
                <w:rFonts w:ascii="宋体" w:eastAsia="宋体" w:hAnsi="宋体" w:hint="eastAsia"/>
                <w:color w:val="auto"/>
                <w:kern w:val="2"/>
                <w:sz w:val="18"/>
                <w:szCs w:val="18"/>
              </w:rPr>
              <w:t>实际投资运行天数/365</w:t>
            </w:r>
          </w:p>
        </w:tc>
      </w:tr>
      <w:tr w:rsidR="00E00F55"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E00F55" w:rsidRDefault="00E00F55">
            <w:pPr>
              <w:rPr>
                <w:rFonts w:ascii="宋体" w:hAnsi="宋体"/>
                <w:sz w:val="18"/>
                <w:szCs w:val="18"/>
              </w:rPr>
            </w:pPr>
            <w:r>
              <w:rPr>
                <w:rFonts w:ascii="宋体" w:hAnsi="宋体" w:hint="eastAsia"/>
                <w:sz w:val="18"/>
                <w:szCs w:val="18"/>
              </w:rPr>
              <w:t>发行规模上限</w:t>
            </w:r>
          </w:p>
        </w:tc>
        <w:tc>
          <w:tcPr>
            <w:tcW w:w="7169" w:type="dxa"/>
            <w:tcBorders>
              <w:top w:val="single" w:sz="4" w:space="0" w:color="auto"/>
              <w:left w:val="single" w:sz="4" w:space="0" w:color="auto"/>
              <w:bottom w:val="single" w:sz="4" w:space="0" w:color="auto"/>
              <w:right w:val="single" w:sz="4" w:space="0" w:color="auto"/>
            </w:tcBorders>
            <w:vAlign w:val="center"/>
          </w:tcPr>
          <w:p w:rsidR="00E00F55" w:rsidRDefault="00E00F55" w:rsidP="00A277B5">
            <w:pPr>
              <w:rPr>
                <w:rFonts w:ascii="宋体" w:hAnsi="宋体"/>
                <w:sz w:val="18"/>
                <w:szCs w:val="18"/>
              </w:rPr>
            </w:pPr>
            <w:r>
              <w:rPr>
                <w:rFonts w:ascii="宋体" w:hAnsi="宋体"/>
                <w:sz w:val="18"/>
                <w:szCs w:val="18"/>
              </w:rPr>
              <w:t>1</w:t>
            </w:r>
            <w:r>
              <w:rPr>
                <w:rFonts w:ascii="宋体" w:hAnsi="宋体" w:hint="eastAsia"/>
                <w:sz w:val="18"/>
                <w:szCs w:val="18"/>
              </w:rPr>
              <w:t>千万元人民币</w:t>
            </w:r>
          </w:p>
        </w:tc>
      </w:tr>
      <w:tr w:rsidR="00E00F55"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E00F55" w:rsidRDefault="00E00F55">
            <w:pPr>
              <w:rPr>
                <w:rFonts w:ascii="宋体" w:hAnsi="宋体"/>
                <w:sz w:val="18"/>
                <w:szCs w:val="18"/>
              </w:rPr>
            </w:pPr>
            <w:r>
              <w:rPr>
                <w:rFonts w:ascii="宋体" w:hAnsi="宋体" w:hint="eastAsia"/>
                <w:sz w:val="18"/>
                <w:szCs w:val="18"/>
              </w:rPr>
              <w:t>理财币种</w:t>
            </w:r>
          </w:p>
        </w:tc>
        <w:tc>
          <w:tcPr>
            <w:tcW w:w="7169" w:type="dxa"/>
            <w:tcBorders>
              <w:top w:val="single" w:sz="4" w:space="0" w:color="auto"/>
              <w:left w:val="single" w:sz="4" w:space="0" w:color="auto"/>
              <w:bottom w:val="single" w:sz="4" w:space="0" w:color="auto"/>
              <w:right w:val="single" w:sz="4" w:space="0" w:color="auto"/>
            </w:tcBorders>
            <w:vAlign w:val="center"/>
          </w:tcPr>
          <w:p w:rsidR="00E00F55" w:rsidRDefault="00E00F55">
            <w:pPr>
              <w:rPr>
                <w:rFonts w:ascii="宋体" w:hAnsi="宋体"/>
                <w:sz w:val="18"/>
                <w:szCs w:val="18"/>
              </w:rPr>
            </w:pPr>
            <w:r>
              <w:rPr>
                <w:rFonts w:ascii="宋体" w:hAnsi="宋体" w:hint="eastAsia"/>
                <w:sz w:val="18"/>
                <w:szCs w:val="18"/>
              </w:rPr>
              <w:t>人民币</w:t>
            </w:r>
          </w:p>
        </w:tc>
      </w:tr>
      <w:tr w:rsidR="00E00F55"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E00F55" w:rsidRDefault="00E00F55">
            <w:pPr>
              <w:rPr>
                <w:rFonts w:ascii="宋体" w:hAnsi="宋体"/>
                <w:sz w:val="18"/>
                <w:szCs w:val="18"/>
              </w:rPr>
            </w:pPr>
            <w:r>
              <w:rPr>
                <w:rFonts w:ascii="宋体" w:hAnsi="宋体" w:hint="eastAsia"/>
                <w:sz w:val="18"/>
                <w:szCs w:val="18"/>
              </w:rPr>
              <w:t>发行对象</w:t>
            </w:r>
          </w:p>
        </w:tc>
        <w:tc>
          <w:tcPr>
            <w:tcW w:w="7169" w:type="dxa"/>
            <w:tcBorders>
              <w:top w:val="single" w:sz="4" w:space="0" w:color="auto"/>
              <w:left w:val="single" w:sz="4" w:space="0" w:color="auto"/>
              <w:bottom w:val="single" w:sz="4" w:space="0" w:color="auto"/>
              <w:right w:val="single" w:sz="4" w:space="0" w:color="auto"/>
            </w:tcBorders>
            <w:vAlign w:val="center"/>
          </w:tcPr>
          <w:p w:rsidR="00E00F55" w:rsidRDefault="00E00F55" w:rsidP="004E4891">
            <w:pPr>
              <w:rPr>
                <w:rFonts w:ascii="宋体" w:hAnsi="宋体"/>
                <w:sz w:val="18"/>
                <w:szCs w:val="18"/>
              </w:rPr>
            </w:pPr>
            <w:r w:rsidRPr="004E4891">
              <w:rPr>
                <w:rFonts w:ascii="宋体" w:hAnsi="宋体" w:hint="eastAsia"/>
                <w:sz w:val="18"/>
                <w:szCs w:val="18"/>
              </w:rPr>
              <w:t>根据我行理财产品内部风险评估，该产品风险等级为较低级（本风险等级为我行内部风险评级结果，仅供参考，我行不对前述风险评级结果的准确性做出任何形式的保证，也不承担任何法律责任），适合风险属性为较低及以上的</w:t>
            </w:r>
            <w:r>
              <w:rPr>
                <w:rFonts w:ascii="宋体" w:hAnsi="宋体" w:hint="eastAsia"/>
                <w:sz w:val="18"/>
                <w:szCs w:val="18"/>
              </w:rPr>
              <w:t>不特定社会公众及</w:t>
            </w:r>
            <w:r>
              <w:rPr>
                <w:rFonts w:ascii="宋体" w:hAnsi="宋体"/>
                <w:sz w:val="18"/>
                <w:szCs w:val="18"/>
              </w:rPr>
              <w:t>合格投资者</w:t>
            </w:r>
            <w:r w:rsidRPr="004E4891">
              <w:rPr>
                <w:rFonts w:ascii="宋体" w:hAnsi="宋体" w:hint="eastAsia"/>
                <w:sz w:val="18"/>
                <w:szCs w:val="18"/>
              </w:rPr>
              <w:t>。</w:t>
            </w:r>
          </w:p>
        </w:tc>
      </w:tr>
      <w:tr w:rsidR="00E00F55"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E00F55" w:rsidRDefault="00E00F55">
            <w:pPr>
              <w:rPr>
                <w:rFonts w:ascii="宋体" w:hAnsi="宋体"/>
                <w:sz w:val="18"/>
                <w:szCs w:val="18"/>
              </w:rPr>
            </w:pPr>
            <w:r>
              <w:rPr>
                <w:rFonts w:ascii="宋体" w:hAnsi="宋体" w:hint="eastAsia"/>
                <w:sz w:val="18"/>
                <w:szCs w:val="18"/>
              </w:rPr>
              <w:t>收益支付方式</w:t>
            </w:r>
          </w:p>
        </w:tc>
        <w:tc>
          <w:tcPr>
            <w:tcW w:w="7169" w:type="dxa"/>
            <w:tcBorders>
              <w:top w:val="single" w:sz="4" w:space="0" w:color="auto"/>
              <w:left w:val="single" w:sz="4" w:space="0" w:color="auto"/>
              <w:bottom w:val="single" w:sz="4" w:space="0" w:color="auto"/>
              <w:right w:val="single" w:sz="4" w:space="0" w:color="auto"/>
            </w:tcBorders>
            <w:vAlign w:val="center"/>
          </w:tcPr>
          <w:p w:rsidR="00E00F55" w:rsidRDefault="00E00F55">
            <w:pPr>
              <w:rPr>
                <w:rFonts w:ascii="宋体" w:hAnsi="宋体"/>
                <w:sz w:val="18"/>
                <w:szCs w:val="18"/>
              </w:rPr>
            </w:pPr>
            <w:r>
              <w:rPr>
                <w:rFonts w:ascii="宋体" w:hAnsi="宋体" w:hint="eastAsia"/>
                <w:sz w:val="18"/>
                <w:szCs w:val="18"/>
              </w:rPr>
              <w:t>存续期满，本金与收益一次性支付。</w:t>
            </w:r>
          </w:p>
        </w:tc>
      </w:tr>
      <w:tr w:rsidR="00E00F55" w:rsidTr="00C73D31">
        <w:trPr>
          <w:cantSplit/>
          <w:trHeight w:val="1701"/>
          <w:jc w:val="center"/>
        </w:trPr>
        <w:tc>
          <w:tcPr>
            <w:tcW w:w="1516" w:type="dxa"/>
            <w:tcBorders>
              <w:top w:val="single" w:sz="4" w:space="0" w:color="auto"/>
              <w:left w:val="single" w:sz="4" w:space="0" w:color="auto"/>
              <w:bottom w:val="single" w:sz="4" w:space="0" w:color="auto"/>
              <w:right w:val="single" w:sz="4" w:space="0" w:color="auto"/>
            </w:tcBorders>
            <w:vAlign w:val="center"/>
          </w:tcPr>
          <w:p w:rsidR="00E00F55" w:rsidRDefault="00E00F55" w:rsidP="00B573F1">
            <w:pPr>
              <w:rPr>
                <w:rFonts w:ascii="宋体" w:hAnsi="宋体"/>
                <w:sz w:val="18"/>
                <w:szCs w:val="18"/>
              </w:rPr>
            </w:pPr>
            <w:r>
              <w:rPr>
                <w:rFonts w:ascii="宋体" w:hAnsi="宋体" w:hint="eastAsia"/>
                <w:sz w:val="18"/>
                <w:szCs w:val="18"/>
              </w:rPr>
              <w:t>投资范围及比例</w:t>
            </w:r>
          </w:p>
        </w:tc>
        <w:tc>
          <w:tcPr>
            <w:tcW w:w="7169" w:type="dxa"/>
            <w:tcBorders>
              <w:top w:val="single" w:sz="4" w:space="0" w:color="auto"/>
              <w:left w:val="single" w:sz="4" w:space="0" w:color="auto"/>
              <w:bottom w:val="single" w:sz="4" w:space="0" w:color="auto"/>
              <w:right w:val="single" w:sz="4" w:space="0" w:color="auto"/>
            </w:tcBorders>
            <w:vAlign w:val="center"/>
          </w:tcPr>
          <w:p w:rsidR="00E00F55" w:rsidRDefault="00E00F55" w:rsidP="00B573F1">
            <w:pPr>
              <w:rPr>
                <w:rFonts w:ascii="宋体" w:hAnsi="宋体" w:cs="仿宋_GB2312"/>
                <w:color w:val="000000"/>
                <w:kern w:val="0"/>
                <w:sz w:val="18"/>
                <w:szCs w:val="18"/>
              </w:rPr>
            </w:pPr>
            <w:r w:rsidRPr="004E4891">
              <w:rPr>
                <w:rFonts w:ascii="宋体" w:hAnsi="宋体" w:hint="eastAsia"/>
                <w:bCs/>
                <w:sz w:val="18"/>
                <w:szCs w:val="18"/>
              </w:rPr>
              <w:t>本理财产品投资对象为符合监管要求的我国银行间与交易所市场的国债、金融债、央行票据、同业存单、企业债、公司债、中期票据、（超）短期融资券、可转换债券、资产支持债券、中小企业私募债、回购交易、银行间债券市场非金融企业非公开定向债务融资工具（PPN）、理财直接融资工具、银行存款（包括协议存款和同业借款）、证券投资基金、券商收益凭证、货币市场工具、资产管理计划、信托计划以及其他符合监管要求的非标准化债权类资产等等。其中，固定收益类资产不低于80%。</w:t>
            </w:r>
          </w:p>
        </w:tc>
      </w:tr>
      <w:tr w:rsidR="00E00F55"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E00F55" w:rsidRDefault="00E00F55" w:rsidP="00B573F1">
            <w:pPr>
              <w:rPr>
                <w:rFonts w:ascii="宋体" w:hAnsi="宋体"/>
                <w:sz w:val="18"/>
                <w:szCs w:val="18"/>
              </w:rPr>
            </w:pPr>
            <w:r>
              <w:rPr>
                <w:rFonts w:ascii="宋体" w:hAnsi="宋体" w:hint="eastAsia"/>
                <w:sz w:val="18"/>
                <w:szCs w:val="18"/>
              </w:rPr>
              <w:t>风险事件说明</w:t>
            </w:r>
          </w:p>
        </w:tc>
        <w:tc>
          <w:tcPr>
            <w:tcW w:w="7169" w:type="dxa"/>
            <w:tcBorders>
              <w:top w:val="single" w:sz="4" w:space="0" w:color="auto"/>
              <w:left w:val="single" w:sz="4" w:space="0" w:color="auto"/>
              <w:bottom w:val="single" w:sz="4" w:space="0" w:color="auto"/>
              <w:right w:val="single" w:sz="4" w:space="0" w:color="auto"/>
            </w:tcBorders>
            <w:vAlign w:val="center"/>
          </w:tcPr>
          <w:p w:rsidR="00E00F55" w:rsidRDefault="00E00F55" w:rsidP="00B573F1">
            <w:pPr>
              <w:rPr>
                <w:rFonts w:ascii="宋体" w:hAnsi="宋体"/>
                <w:bCs/>
                <w:sz w:val="18"/>
                <w:szCs w:val="18"/>
              </w:rPr>
            </w:pPr>
            <w:r>
              <w:rPr>
                <w:rFonts w:ascii="宋体" w:hAnsi="宋体" w:hint="eastAsia"/>
                <w:bCs/>
                <w:sz w:val="18"/>
                <w:szCs w:val="18"/>
              </w:rPr>
              <w:t>本理财产品存在债券到期不能兑付，货币市场工具到期不能收取本息，固定收益产品的价格发生不利变动等风险事件的可能。</w:t>
            </w:r>
          </w:p>
        </w:tc>
      </w:tr>
      <w:tr w:rsidR="00E00F55"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E00F55" w:rsidRDefault="00E00F55" w:rsidP="00B573F1">
            <w:pPr>
              <w:rPr>
                <w:rFonts w:ascii="宋体" w:hAnsi="宋体"/>
                <w:sz w:val="18"/>
                <w:szCs w:val="18"/>
              </w:rPr>
            </w:pPr>
            <w:r>
              <w:rPr>
                <w:rFonts w:ascii="宋体" w:hAnsi="宋体" w:hint="eastAsia"/>
                <w:sz w:val="18"/>
                <w:szCs w:val="18"/>
              </w:rPr>
              <w:t>理财资产托管人</w:t>
            </w:r>
          </w:p>
        </w:tc>
        <w:tc>
          <w:tcPr>
            <w:tcW w:w="7169" w:type="dxa"/>
            <w:tcBorders>
              <w:top w:val="single" w:sz="4" w:space="0" w:color="auto"/>
              <w:left w:val="single" w:sz="4" w:space="0" w:color="auto"/>
              <w:bottom w:val="single" w:sz="4" w:space="0" w:color="auto"/>
              <w:right w:val="single" w:sz="4" w:space="0" w:color="auto"/>
            </w:tcBorders>
            <w:vAlign w:val="center"/>
          </w:tcPr>
          <w:p w:rsidR="00E00F55" w:rsidRDefault="00E00F55" w:rsidP="004E4891">
            <w:pPr>
              <w:rPr>
                <w:rFonts w:ascii="宋体" w:hAnsi="宋体"/>
                <w:bCs/>
                <w:sz w:val="18"/>
                <w:szCs w:val="18"/>
              </w:rPr>
            </w:pPr>
            <w:r>
              <w:rPr>
                <w:rFonts w:ascii="宋体" w:hAnsi="宋体" w:hint="eastAsia"/>
                <w:bCs/>
                <w:sz w:val="18"/>
                <w:szCs w:val="18"/>
              </w:rPr>
              <w:t>杭州银行</w:t>
            </w:r>
          </w:p>
        </w:tc>
      </w:tr>
      <w:tr w:rsidR="00E00F55"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E00F55" w:rsidRDefault="00E00F55" w:rsidP="00B573F1">
            <w:pPr>
              <w:rPr>
                <w:rFonts w:ascii="宋体" w:hAnsi="宋体"/>
                <w:sz w:val="18"/>
                <w:szCs w:val="18"/>
              </w:rPr>
            </w:pPr>
            <w:r>
              <w:rPr>
                <w:rFonts w:ascii="宋体" w:hAnsi="宋体" w:hint="eastAsia"/>
                <w:sz w:val="18"/>
                <w:szCs w:val="18"/>
              </w:rPr>
              <w:t>理财资产管理人/理财产品</w:t>
            </w:r>
            <w:r>
              <w:rPr>
                <w:rFonts w:ascii="宋体" w:hAnsi="宋体"/>
                <w:sz w:val="18"/>
                <w:szCs w:val="18"/>
              </w:rPr>
              <w:t>发行人</w:t>
            </w:r>
          </w:p>
        </w:tc>
        <w:tc>
          <w:tcPr>
            <w:tcW w:w="7169" w:type="dxa"/>
            <w:tcBorders>
              <w:top w:val="single" w:sz="4" w:space="0" w:color="auto"/>
              <w:left w:val="single" w:sz="4" w:space="0" w:color="auto"/>
              <w:bottom w:val="single" w:sz="4" w:space="0" w:color="auto"/>
              <w:right w:val="single" w:sz="4" w:space="0" w:color="auto"/>
            </w:tcBorders>
            <w:vAlign w:val="center"/>
          </w:tcPr>
          <w:p w:rsidR="00E00F55" w:rsidRDefault="00E00F55" w:rsidP="00B573F1">
            <w:pPr>
              <w:rPr>
                <w:rFonts w:ascii="宋体" w:hAnsi="宋体"/>
                <w:bCs/>
                <w:sz w:val="18"/>
                <w:szCs w:val="18"/>
              </w:rPr>
            </w:pPr>
            <w:r>
              <w:rPr>
                <w:rFonts w:ascii="宋体" w:hAnsi="宋体" w:hint="eastAsia"/>
                <w:bCs/>
                <w:sz w:val="18"/>
                <w:szCs w:val="18"/>
              </w:rPr>
              <w:t>江苏如皋农村商业银行股份有限公司</w:t>
            </w:r>
          </w:p>
        </w:tc>
      </w:tr>
      <w:tr w:rsidR="00E00F55"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E00F55" w:rsidRDefault="00E00F55" w:rsidP="00B573F1">
            <w:pPr>
              <w:rPr>
                <w:rFonts w:ascii="宋体" w:hAnsi="宋体"/>
                <w:sz w:val="18"/>
                <w:szCs w:val="18"/>
              </w:rPr>
            </w:pPr>
            <w:r>
              <w:rPr>
                <w:rFonts w:ascii="宋体" w:hAnsi="宋体" w:hint="eastAsia"/>
                <w:sz w:val="18"/>
                <w:szCs w:val="18"/>
              </w:rPr>
              <w:t>计费方式</w:t>
            </w:r>
          </w:p>
        </w:tc>
        <w:tc>
          <w:tcPr>
            <w:tcW w:w="7169" w:type="dxa"/>
            <w:tcBorders>
              <w:top w:val="single" w:sz="4" w:space="0" w:color="auto"/>
              <w:left w:val="single" w:sz="4" w:space="0" w:color="auto"/>
              <w:bottom w:val="single" w:sz="4" w:space="0" w:color="auto"/>
              <w:right w:val="single" w:sz="4" w:space="0" w:color="auto"/>
            </w:tcBorders>
            <w:vAlign w:val="center"/>
          </w:tcPr>
          <w:p w:rsidR="00E00F55" w:rsidRDefault="00E00F55" w:rsidP="00B573F1">
            <w:pPr>
              <w:rPr>
                <w:rFonts w:ascii="宋体" w:hAnsi="宋体"/>
                <w:bCs/>
                <w:sz w:val="18"/>
                <w:szCs w:val="18"/>
              </w:rPr>
            </w:pPr>
            <w:r w:rsidRPr="004E4891">
              <w:rPr>
                <w:rFonts w:ascii="宋体" w:hAnsi="宋体" w:hint="eastAsia"/>
                <w:bCs/>
                <w:sz w:val="18"/>
                <w:szCs w:val="18"/>
              </w:rPr>
              <w:t>本理财产品收取年化0.02%的托管费，实际运作收益扣除托管费部分由我行收取。</w:t>
            </w:r>
          </w:p>
        </w:tc>
      </w:tr>
      <w:tr w:rsidR="00E00F55" w:rsidTr="00C73D31">
        <w:trPr>
          <w:trHeight w:val="251"/>
          <w:jc w:val="center"/>
        </w:trPr>
        <w:tc>
          <w:tcPr>
            <w:tcW w:w="1516" w:type="dxa"/>
            <w:tcBorders>
              <w:top w:val="single" w:sz="4" w:space="0" w:color="auto"/>
              <w:left w:val="single" w:sz="4" w:space="0" w:color="auto"/>
              <w:bottom w:val="single" w:sz="4" w:space="0" w:color="auto"/>
              <w:right w:val="single" w:sz="4" w:space="0" w:color="auto"/>
            </w:tcBorders>
            <w:vAlign w:val="center"/>
          </w:tcPr>
          <w:p w:rsidR="00E00F55" w:rsidRDefault="00E00F55" w:rsidP="00B573F1">
            <w:pPr>
              <w:rPr>
                <w:rFonts w:ascii="宋体" w:hAnsi="宋体"/>
                <w:sz w:val="18"/>
                <w:szCs w:val="18"/>
              </w:rPr>
            </w:pPr>
            <w:r>
              <w:rPr>
                <w:rFonts w:ascii="宋体" w:hAnsi="宋体" w:hint="eastAsia"/>
                <w:sz w:val="18"/>
                <w:szCs w:val="18"/>
              </w:rPr>
              <w:t>提前终止条款</w:t>
            </w:r>
          </w:p>
        </w:tc>
        <w:tc>
          <w:tcPr>
            <w:tcW w:w="7169" w:type="dxa"/>
            <w:tcBorders>
              <w:top w:val="single" w:sz="4" w:space="0" w:color="auto"/>
              <w:left w:val="single" w:sz="4" w:space="0" w:color="auto"/>
              <w:bottom w:val="single" w:sz="4" w:space="0" w:color="auto"/>
              <w:right w:val="single" w:sz="4" w:space="0" w:color="auto"/>
            </w:tcBorders>
            <w:vAlign w:val="center"/>
          </w:tcPr>
          <w:p w:rsidR="00E00F55" w:rsidRDefault="00E00F55" w:rsidP="00B573F1">
            <w:pPr>
              <w:rPr>
                <w:rFonts w:ascii="宋体" w:hAnsi="宋体"/>
                <w:sz w:val="18"/>
                <w:szCs w:val="18"/>
              </w:rPr>
            </w:pPr>
            <w:r>
              <w:rPr>
                <w:rFonts w:ascii="宋体" w:hAnsi="宋体" w:hint="eastAsia"/>
                <w:sz w:val="18"/>
                <w:szCs w:val="18"/>
              </w:rPr>
              <w:t>在发生借款人提前还款或投资项目异常等情况下银行可提前终止，投资人无提前终止权，但出现第三条所列情形除外。</w:t>
            </w:r>
          </w:p>
        </w:tc>
      </w:tr>
      <w:tr w:rsidR="00E00F55" w:rsidTr="00C73D31">
        <w:trPr>
          <w:trHeight w:val="143"/>
          <w:jc w:val="center"/>
        </w:trPr>
        <w:tc>
          <w:tcPr>
            <w:tcW w:w="1516" w:type="dxa"/>
            <w:tcBorders>
              <w:top w:val="single" w:sz="4" w:space="0" w:color="auto"/>
              <w:left w:val="single" w:sz="4" w:space="0" w:color="auto"/>
              <w:bottom w:val="single" w:sz="4" w:space="0" w:color="auto"/>
              <w:right w:val="single" w:sz="4" w:space="0" w:color="auto"/>
            </w:tcBorders>
            <w:vAlign w:val="center"/>
          </w:tcPr>
          <w:p w:rsidR="00E00F55" w:rsidRDefault="00E00F55" w:rsidP="00B573F1">
            <w:pPr>
              <w:rPr>
                <w:rFonts w:ascii="宋体" w:hAnsi="宋体"/>
                <w:sz w:val="18"/>
                <w:szCs w:val="18"/>
              </w:rPr>
            </w:pPr>
            <w:r>
              <w:rPr>
                <w:rFonts w:ascii="宋体" w:hAnsi="宋体" w:hint="eastAsia"/>
                <w:sz w:val="18"/>
                <w:szCs w:val="18"/>
              </w:rPr>
              <w:lastRenderedPageBreak/>
              <w:t>税务处理</w:t>
            </w:r>
          </w:p>
        </w:tc>
        <w:tc>
          <w:tcPr>
            <w:tcW w:w="7169" w:type="dxa"/>
            <w:tcBorders>
              <w:top w:val="single" w:sz="4" w:space="0" w:color="auto"/>
              <w:left w:val="single" w:sz="4" w:space="0" w:color="auto"/>
              <w:bottom w:val="single" w:sz="4" w:space="0" w:color="auto"/>
              <w:right w:val="single" w:sz="4" w:space="0" w:color="auto"/>
            </w:tcBorders>
            <w:vAlign w:val="center"/>
          </w:tcPr>
          <w:p w:rsidR="00E00F55" w:rsidRDefault="00E00F55" w:rsidP="00B573F1">
            <w:pPr>
              <w:rPr>
                <w:rFonts w:ascii="宋体" w:hAnsi="宋体"/>
                <w:sz w:val="18"/>
                <w:szCs w:val="18"/>
              </w:rPr>
            </w:pPr>
            <w:r>
              <w:rPr>
                <w:rFonts w:ascii="宋体" w:hAnsi="宋体" w:hint="eastAsia"/>
                <w:sz w:val="18"/>
                <w:szCs w:val="18"/>
              </w:rPr>
              <w:t>银行不代扣代缴，但法律法规另有规定除外。</w:t>
            </w:r>
          </w:p>
        </w:tc>
      </w:tr>
    </w:tbl>
    <w:p w:rsidR="00E00F55" w:rsidRDefault="00E00F55" w:rsidP="00292BE8">
      <w:pPr>
        <w:ind w:firstLineChars="247" w:firstLine="521"/>
        <w:rPr>
          <w:rFonts w:ascii="宋体" w:hAnsi="宋体"/>
          <w:b/>
          <w:bCs/>
          <w:spacing w:val="10"/>
        </w:rPr>
      </w:pPr>
      <w:r>
        <w:rPr>
          <w:rFonts w:ascii="宋体" w:hAnsi="宋体" w:hint="eastAsia"/>
          <w:b/>
        </w:rPr>
        <w:t>特别说明：预期收益不等于实际收益，投资须谨慎。</w:t>
      </w:r>
    </w:p>
    <w:p w:rsidR="00E00F55" w:rsidRDefault="00E00F55" w:rsidP="00292BE8">
      <w:pPr>
        <w:pStyle w:val="a8"/>
        <w:widowControl w:val="0"/>
        <w:snapToGrid w:val="0"/>
        <w:spacing w:before="0" w:after="0" w:line="240" w:lineRule="auto"/>
        <w:ind w:firstLineChars="200" w:firstLine="482"/>
        <w:jc w:val="both"/>
        <w:rPr>
          <w:rFonts w:ascii="宋体" w:hAnsi="宋体"/>
          <w:b/>
        </w:rPr>
      </w:pPr>
      <w:r>
        <w:rPr>
          <w:rFonts w:ascii="宋体" w:hAnsi="宋体" w:hint="eastAsia"/>
          <w:b/>
        </w:rPr>
        <w:t>第二条  名词释义</w:t>
      </w:r>
    </w:p>
    <w:p w:rsidR="00E00F55" w:rsidRDefault="00E00F55" w:rsidP="00A0125F">
      <w:pPr>
        <w:ind w:firstLineChars="200" w:firstLine="460"/>
        <w:rPr>
          <w:rFonts w:ascii="宋体" w:hAnsi="宋体"/>
          <w:spacing w:val="10"/>
        </w:rPr>
      </w:pPr>
      <w:r>
        <w:rPr>
          <w:rFonts w:ascii="宋体" w:hAnsi="宋体" w:hint="eastAsia"/>
          <w:spacing w:val="10"/>
        </w:rPr>
        <w:t>（一）发行期：是指银行确定的接受投资人认购本理财产品的起止期限。</w:t>
      </w:r>
    </w:p>
    <w:p w:rsidR="00E00F55" w:rsidRDefault="00E00F55" w:rsidP="00A0125F">
      <w:pPr>
        <w:ind w:firstLineChars="200" w:firstLine="460"/>
        <w:rPr>
          <w:rFonts w:ascii="宋体" w:hAnsi="宋体"/>
          <w:spacing w:val="10"/>
        </w:rPr>
      </w:pPr>
      <w:r>
        <w:rPr>
          <w:rFonts w:ascii="宋体" w:hAnsi="宋体" w:hint="eastAsia"/>
          <w:spacing w:val="10"/>
        </w:rPr>
        <w:t>（二）提前终止权：是指在本理财产品存续期内，银行或投资人单方面决定全部提前终止本理财产品的权利。</w:t>
      </w:r>
    </w:p>
    <w:p w:rsidR="00E00F55" w:rsidRDefault="00E00F55" w:rsidP="00A0125F">
      <w:pPr>
        <w:ind w:firstLineChars="200" w:firstLine="460"/>
        <w:rPr>
          <w:rFonts w:ascii="宋体" w:hAnsi="宋体"/>
          <w:spacing w:val="10"/>
        </w:rPr>
      </w:pPr>
      <w:r>
        <w:rPr>
          <w:rFonts w:ascii="宋体" w:hAnsi="宋体" w:hint="eastAsia"/>
          <w:spacing w:val="10"/>
        </w:rPr>
        <w:t>（三）提前终止权行使日：是指银行或投资人行使提前终止权的日期，也即本理财产品被提前终止、开始停止计算收益的日期。</w:t>
      </w:r>
    </w:p>
    <w:p w:rsidR="00E00F55" w:rsidRDefault="00E00F55" w:rsidP="00A0125F">
      <w:pPr>
        <w:ind w:firstLineChars="200" w:firstLine="460"/>
        <w:rPr>
          <w:rFonts w:ascii="宋体" w:hAnsi="宋体"/>
          <w:spacing w:val="10"/>
        </w:rPr>
      </w:pPr>
      <w:r>
        <w:rPr>
          <w:rFonts w:ascii="宋体" w:hAnsi="宋体" w:hint="eastAsia"/>
          <w:spacing w:val="10"/>
        </w:rPr>
        <w:t>（四）认购日：是指投资人认购本理财产品的日期。</w:t>
      </w:r>
    </w:p>
    <w:p w:rsidR="00E00F55" w:rsidRDefault="00E00F55" w:rsidP="00A0125F">
      <w:pPr>
        <w:ind w:firstLineChars="200" w:firstLine="460"/>
        <w:rPr>
          <w:rFonts w:ascii="宋体" w:hAnsi="宋体"/>
          <w:spacing w:val="10"/>
        </w:rPr>
      </w:pPr>
      <w:r>
        <w:rPr>
          <w:rFonts w:ascii="宋体" w:hAnsi="宋体" w:hint="eastAsia"/>
          <w:spacing w:val="10"/>
        </w:rPr>
        <w:t>（五）计算投资收益起始日：是指计算本理财产品收益的起始日期，也即本理财产品对应资产开始运作的日期。</w:t>
      </w:r>
    </w:p>
    <w:p w:rsidR="00E00F55" w:rsidRDefault="00E00F55" w:rsidP="00A0125F">
      <w:pPr>
        <w:ind w:firstLineChars="200" w:firstLine="460"/>
        <w:rPr>
          <w:rFonts w:ascii="宋体" w:hAnsi="宋体"/>
          <w:spacing w:val="10"/>
        </w:rPr>
      </w:pPr>
      <w:r>
        <w:rPr>
          <w:rFonts w:ascii="宋体" w:hAnsi="宋体" w:hint="eastAsia"/>
          <w:spacing w:val="10"/>
        </w:rPr>
        <w:t>（六）名义到期日：是指在银行未对本理财产品提前终止的情况下本理财产品的到期日期。</w:t>
      </w:r>
    </w:p>
    <w:p w:rsidR="00E00F55" w:rsidRDefault="00E00F55" w:rsidP="00A0125F">
      <w:pPr>
        <w:ind w:firstLineChars="200" w:firstLine="460"/>
        <w:rPr>
          <w:rFonts w:ascii="宋体" w:hAnsi="宋体"/>
          <w:spacing w:val="10"/>
        </w:rPr>
      </w:pPr>
      <w:r>
        <w:rPr>
          <w:rFonts w:ascii="宋体" w:hAnsi="宋体" w:hint="eastAsia"/>
          <w:spacing w:val="10"/>
        </w:rPr>
        <w:t>（七）实际到期日：是指银行兑付本金及收益的日期。</w:t>
      </w:r>
    </w:p>
    <w:p w:rsidR="00E00F55" w:rsidRDefault="00E00F55" w:rsidP="00A0125F">
      <w:pPr>
        <w:ind w:firstLineChars="200" w:firstLine="460"/>
        <w:rPr>
          <w:rFonts w:ascii="宋体" w:hAnsi="宋体"/>
          <w:spacing w:val="10"/>
        </w:rPr>
      </w:pPr>
      <w:r>
        <w:rPr>
          <w:rFonts w:ascii="宋体" w:hAnsi="宋体" w:hint="eastAsia"/>
          <w:spacing w:val="10"/>
        </w:rPr>
        <w:t>（八）理财期限：是指自计算投资收益起始日至名义到期日之间的投资期限。</w:t>
      </w:r>
    </w:p>
    <w:p w:rsidR="00E00F55" w:rsidRDefault="00E00F55" w:rsidP="00A0125F">
      <w:pPr>
        <w:ind w:firstLineChars="200" w:firstLine="460"/>
        <w:rPr>
          <w:rFonts w:ascii="宋体" w:hAnsi="宋体"/>
          <w:spacing w:val="10"/>
        </w:rPr>
      </w:pPr>
      <w:r>
        <w:rPr>
          <w:rFonts w:ascii="宋体" w:hAnsi="宋体" w:hint="eastAsia"/>
          <w:spacing w:val="10"/>
        </w:rPr>
        <w:t>（九）工作日：是指除国家法定节假日和休息日外的日期。</w:t>
      </w:r>
    </w:p>
    <w:p w:rsidR="00E00F55" w:rsidRDefault="00E00F55" w:rsidP="00A0125F">
      <w:pPr>
        <w:pStyle w:val="a8"/>
        <w:widowControl w:val="0"/>
        <w:snapToGrid w:val="0"/>
        <w:spacing w:before="0" w:after="0" w:line="240" w:lineRule="auto"/>
        <w:ind w:firstLineChars="200" w:firstLine="482"/>
        <w:jc w:val="both"/>
        <w:rPr>
          <w:rFonts w:ascii="宋体" w:hAnsi="宋体"/>
          <w:b/>
        </w:rPr>
      </w:pPr>
      <w:r>
        <w:rPr>
          <w:rFonts w:ascii="宋体" w:hAnsi="宋体" w:hint="eastAsia"/>
          <w:b/>
        </w:rPr>
        <w:t xml:space="preserve">第三条  </w:t>
      </w:r>
      <w:r>
        <w:rPr>
          <w:rFonts w:ascii="宋体" w:hAnsi="宋体" w:hint="eastAsia"/>
          <w:b/>
          <w:spacing w:val="10"/>
        </w:rPr>
        <w:t>提前终止</w:t>
      </w:r>
    </w:p>
    <w:p w:rsidR="00E00F55" w:rsidRDefault="00E00F55" w:rsidP="00A0125F">
      <w:pPr>
        <w:ind w:firstLineChars="200" w:firstLine="460"/>
        <w:rPr>
          <w:rFonts w:ascii="宋体" w:hAnsi="宋体"/>
          <w:spacing w:val="10"/>
        </w:rPr>
      </w:pPr>
      <w:r>
        <w:rPr>
          <w:rFonts w:ascii="宋体" w:hAnsi="宋体" w:hint="eastAsia"/>
          <w:spacing w:val="10"/>
        </w:rPr>
        <w:t>在理财期限内，银行根据投资情况有提前终止权，如发生以下事项时，银行可对本理财产品行使全部提前终止权：</w:t>
      </w:r>
    </w:p>
    <w:p w:rsidR="00E00F55" w:rsidRDefault="00E00F55" w:rsidP="00A0125F">
      <w:pPr>
        <w:ind w:firstLineChars="200" w:firstLine="460"/>
        <w:rPr>
          <w:rFonts w:ascii="宋体" w:hAnsi="宋体"/>
          <w:spacing w:val="10"/>
        </w:rPr>
      </w:pPr>
      <w:r>
        <w:rPr>
          <w:rFonts w:ascii="宋体" w:hAnsi="宋体"/>
          <w:spacing w:val="10"/>
        </w:rPr>
        <w:t>1</w:t>
      </w:r>
      <w:r>
        <w:rPr>
          <w:rFonts w:ascii="宋体" w:hAnsi="宋体" w:hint="eastAsia"/>
          <w:spacing w:val="10"/>
        </w:rPr>
        <w:t>、如因本理财产品资产运作模式等与法律法规、规章的规定或者监管部门的要求等存在冲突导致理财产品必须提前终止的；</w:t>
      </w:r>
    </w:p>
    <w:p w:rsidR="00E00F55" w:rsidRDefault="00E00F55" w:rsidP="00A0125F">
      <w:pPr>
        <w:ind w:firstLineChars="200" w:firstLine="460"/>
        <w:rPr>
          <w:rFonts w:ascii="宋体" w:hAnsi="宋体"/>
          <w:spacing w:val="10"/>
        </w:rPr>
      </w:pPr>
      <w:r>
        <w:rPr>
          <w:rFonts w:ascii="宋体" w:hAnsi="宋体"/>
          <w:spacing w:val="10"/>
        </w:rPr>
        <w:t>2</w:t>
      </w:r>
      <w:r>
        <w:rPr>
          <w:rFonts w:ascii="宋体" w:hAnsi="宋体" w:hint="eastAsia"/>
          <w:spacing w:val="10"/>
        </w:rPr>
        <w:t>、国家有关法律、法规、规章、政策的改变、紧急措施的出台、理财市场环境发生重大变化等导致理财产品必须提前终止的；</w:t>
      </w:r>
    </w:p>
    <w:p w:rsidR="00E00F55" w:rsidRDefault="00E00F55" w:rsidP="00A0125F">
      <w:pPr>
        <w:ind w:firstLineChars="200" w:firstLine="460"/>
        <w:rPr>
          <w:rFonts w:ascii="宋体" w:hAnsi="宋体"/>
          <w:spacing w:val="10"/>
        </w:rPr>
      </w:pPr>
      <w:r>
        <w:rPr>
          <w:rFonts w:ascii="宋体" w:hAnsi="宋体"/>
          <w:spacing w:val="10"/>
        </w:rPr>
        <w:t>3</w:t>
      </w:r>
      <w:r>
        <w:rPr>
          <w:rFonts w:ascii="宋体" w:hAnsi="宋体" w:hint="eastAsia"/>
          <w:spacing w:val="10"/>
        </w:rPr>
        <w:t>、因地震、火灾、战争、罢工等不可抗力因素导致本理财产品必须提前终止的；</w:t>
      </w:r>
    </w:p>
    <w:p w:rsidR="00E00F55" w:rsidRDefault="00E00F55" w:rsidP="00A0125F">
      <w:pPr>
        <w:ind w:firstLineChars="200" w:firstLine="460"/>
        <w:rPr>
          <w:rFonts w:ascii="宋体" w:hAnsi="宋体"/>
          <w:spacing w:val="10"/>
        </w:rPr>
      </w:pPr>
      <w:r>
        <w:rPr>
          <w:rFonts w:ascii="宋体" w:hAnsi="宋体"/>
          <w:spacing w:val="10"/>
        </w:rPr>
        <w:t>4</w:t>
      </w:r>
      <w:r>
        <w:rPr>
          <w:rFonts w:ascii="宋体" w:hAnsi="宋体" w:hint="eastAsia"/>
          <w:spacing w:val="10"/>
        </w:rPr>
        <w:t>、银行认为应该提前终止本理财产品的其他情况。</w:t>
      </w:r>
    </w:p>
    <w:p w:rsidR="00E00F55" w:rsidRDefault="00E00F55" w:rsidP="00A0125F">
      <w:pPr>
        <w:ind w:firstLineChars="200" w:firstLine="460"/>
        <w:rPr>
          <w:rFonts w:ascii="宋体" w:hAnsi="宋体"/>
          <w:spacing w:val="10"/>
        </w:rPr>
      </w:pPr>
      <w:r>
        <w:rPr>
          <w:rFonts w:ascii="宋体" w:hAnsi="宋体" w:hint="eastAsia"/>
          <w:spacing w:val="10"/>
        </w:rPr>
        <w:t>在理财期限内，银行根据投资情况有提前终止权，投资人无提前终止权,但如下情形除外：</w:t>
      </w:r>
    </w:p>
    <w:p w:rsidR="00E00F55" w:rsidRDefault="00E00F55" w:rsidP="00A0125F">
      <w:pPr>
        <w:ind w:firstLineChars="200" w:firstLine="460"/>
        <w:rPr>
          <w:rFonts w:ascii="宋体" w:hAnsi="宋体"/>
          <w:spacing w:val="10"/>
        </w:rPr>
      </w:pPr>
      <w:r>
        <w:rPr>
          <w:rFonts w:ascii="宋体" w:hAnsi="宋体" w:hint="eastAsia"/>
          <w:spacing w:val="10"/>
        </w:rPr>
        <w:t>1、银行根据市场情况，调整本理财产品投资范围、投资品种或者投资比例，并按照有关规定进行信息披露后，如投资人不接受的，则投资人可按照销售文件的约定提前赎回。</w:t>
      </w:r>
    </w:p>
    <w:p w:rsidR="00E00F55" w:rsidRDefault="00E00F55" w:rsidP="00A0125F">
      <w:pPr>
        <w:ind w:firstLineChars="200" w:firstLine="460"/>
        <w:rPr>
          <w:rFonts w:ascii="宋体" w:hAnsi="宋体"/>
          <w:spacing w:val="10"/>
        </w:rPr>
      </w:pPr>
      <w:r>
        <w:rPr>
          <w:rFonts w:ascii="宋体" w:hAnsi="宋体" w:hint="eastAsia"/>
          <w:spacing w:val="10"/>
        </w:rPr>
        <w:t>2、银行根据相关法律和国家政策规定，对已约定的理财产品收费项目、条件、标准和方式进行调整时，在按照有关规定进行信息披露后，如投资人不接受的，则投资人可按照销售文件的约定提前赎回。</w:t>
      </w:r>
    </w:p>
    <w:p w:rsidR="00E00F55" w:rsidRDefault="00E00F55" w:rsidP="00A0125F">
      <w:pPr>
        <w:pStyle w:val="a8"/>
        <w:widowControl w:val="0"/>
        <w:snapToGrid w:val="0"/>
        <w:spacing w:before="0" w:after="0" w:line="240" w:lineRule="auto"/>
        <w:ind w:firstLineChars="200" w:firstLine="482"/>
        <w:jc w:val="both"/>
        <w:rPr>
          <w:rFonts w:ascii="宋体" w:hAnsi="宋体"/>
          <w:b/>
        </w:rPr>
      </w:pPr>
      <w:r>
        <w:rPr>
          <w:rFonts w:ascii="宋体" w:hAnsi="宋体" w:hint="eastAsia"/>
          <w:b/>
        </w:rPr>
        <w:t>第四条  收益计算规则</w:t>
      </w:r>
    </w:p>
    <w:p w:rsidR="00E00F55" w:rsidRDefault="00E00F55" w:rsidP="00A0125F">
      <w:pPr>
        <w:ind w:firstLineChars="200" w:firstLine="460"/>
        <w:rPr>
          <w:rFonts w:ascii="宋体" w:hAnsi="宋体"/>
          <w:spacing w:val="10"/>
        </w:rPr>
      </w:pPr>
      <w:r>
        <w:rPr>
          <w:rFonts w:ascii="宋体" w:hAnsi="宋体" w:hint="eastAsia"/>
          <w:spacing w:val="10"/>
        </w:rPr>
        <w:t>（一）收益分配规则</w:t>
      </w:r>
    </w:p>
    <w:p w:rsidR="00E00F55" w:rsidRDefault="00E00F55" w:rsidP="00A0125F">
      <w:pPr>
        <w:ind w:firstLineChars="200" w:firstLine="460"/>
        <w:rPr>
          <w:rFonts w:ascii="宋体" w:hAnsi="宋体"/>
          <w:spacing w:val="10"/>
        </w:rPr>
      </w:pPr>
      <w:r>
        <w:rPr>
          <w:rFonts w:ascii="宋体" w:hAnsi="宋体" w:hint="eastAsia"/>
          <w:spacing w:val="10"/>
        </w:rPr>
        <w:t>根据理财资金所投资资产实际运作情况向客户支付到期款项。</w:t>
      </w:r>
    </w:p>
    <w:p w:rsidR="00E00F55" w:rsidRDefault="00E00F55" w:rsidP="00A0125F">
      <w:pPr>
        <w:ind w:firstLineChars="200" w:firstLine="460"/>
        <w:rPr>
          <w:rFonts w:ascii="宋体" w:hAnsi="宋体"/>
          <w:spacing w:val="10"/>
        </w:rPr>
      </w:pPr>
      <w:r>
        <w:rPr>
          <w:rFonts w:ascii="宋体" w:hAnsi="宋体" w:hint="eastAsia"/>
          <w:spacing w:val="10"/>
        </w:rPr>
        <w:t>（二）收益率计算公式</w:t>
      </w:r>
    </w:p>
    <w:p w:rsidR="00E00F55" w:rsidRDefault="00E00F55" w:rsidP="00A0125F">
      <w:pPr>
        <w:ind w:firstLineChars="200" w:firstLine="460"/>
        <w:rPr>
          <w:rFonts w:ascii="宋体" w:hAnsi="宋体"/>
          <w:spacing w:val="10"/>
        </w:rPr>
      </w:pPr>
      <w:r>
        <w:rPr>
          <w:rFonts w:ascii="宋体" w:hAnsi="宋体" w:hint="eastAsia"/>
          <w:spacing w:val="10"/>
        </w:rPr>
        <w:t>1、产品收益计算</w:t>
      </w:r>
    </w:p>
    <w:p w:rsidR="00E00F55" w:rsidRDefault="00E00F55" w:rsidP="00A0125F">
      <w:pPr>
        <w:ind w:firstLineChars="200" w:firstLine="460"/>
        <w:rPr>
          <w:rFonts w:ascii="宋体" w:hAnsi="宋体"/>
          <w:spacing w:val="10"/>
        </w:rPr>
      </w:pPr>
      <w:r>
        <w:rPr>
          <w:rFonts w:ascii="宋体" w:hAnsi="宋体" w:hint="eastAsia"/>
          <w:spacing w:val="10"/>
        </w:rPr>
        <w:t>理财产品到期支付款项=理财产品本金+理财产品本金×产品理财收益率（年化）×实际理财天数/365。</w:t>
      </w:r>
    </w:p>
    <w:p w:rsidR="00E00F55" w:rsidRDefault="00E00F55" w:rsidP="00A0125F">
      <w:pPr>
        <w:ind w:firstLineChars="200" w:firstLine="460"/>
        <w:rPr>
          <w:rFonts w:ascii="宋体" w:hAnsi="宋体"/>
          <w:spacing w:val="10"/>
        </w:rPr>
      </w:pPr>
      <w:r>
        <w:rPr>
          <w:rFonts w:ascii="宋体" w:hAnsi="宋体" w:hint="eastAsia"/>
          <w:spacing w:val="10"/>
        </w:rPr>
        <w:t>产品年化收益率=（标的物投资收益-相关费用）/本金/实际投资运行天数*365。</w:t>
      </w:r>
    </w:p>
    <w:p w:rsidR="00E00F55" w:rsidRDefault="00E00F55" w:rsidP="00A0125F">
      <w:pPr>
        <w:ind w:firstLineChars="200" w:firstLine="460"/>
        <w:rPr>
          <w:rFonts w:ascii="宋体" w:hAnsi="宋体"/>
          <w:spacing w:val="10"/>
        </w:rPr>
      </w:pPr>
      <w:r>
        <w:rPr>
          <w:rFonts w:ascii="宋体" w:hAnsi="宋体" w:hint="eastAsia"/>
          <w:spacing w:val="10"/>
        </w:rPr>
        <w:t>投资人到期收到款项按四舍五入保留两位小数。</w:t>
      </w:r>
    </w:p>
    <w:p w:rsidR="00E00F55" w:rsidRDefault="00E00F55" w:rsidP="00A0125F">
      <w:pPr>
        <w:ind w:firstLineChars="200" w:firstLine="460"/>
        <w:rPr>
          <w:rFonts w:ascii="宋体" w:hAnsi="宋体"/>
          <w:spacing w:val="10"/>
        </w:rPr>
      </w:pPr>
      <w:r>
        <w:rPr>
          <w:rFonts w:ascii="宋体" w:hAnsi="宋体" w:hint="eastAsia"/>
          <w:spacing w:val="10"/>
        </w:rPr>
        <w:t>2、示例说明</w:t>
      </w:r>
    </w:p>
    <w:p w:rsidR="00E00F55" w:rsidRDefault="00E00F55" w:rsidP="00A0125F">
      <w:pPr>
        <w:ind w:firstLineChars="200" w:firstLine="460"/>
        <w:rPr>
          <w:rFonts w:ascii="宋体" w:hAnsi="宋体"/>
          <w:spacing w:val="10"/>
        </w:rPr>
      </w:pPr>
      <w:r>
        <w:rPr>
          <w:rFonts w:ascii="宋体" w:hAnsi="宋体" w:hint="eastAsia"/>
          <w:spacing w:val="10"/>
        </w:rPr>
        <w:t>示例一：</w:t>
      </w:r>
    </w:p>
    <w:p w:rsidR="00E00F55" w:rsidRDefault="00E00F55" w:rsidP="00A0125F">
      <w:pPr>
        <w:ind w:firstLineChars="200" w:firstLine="460"/>
        <w:rPr>
          <w:rFonts w:ascii="宋体" w:hAnsi="宋体"/>
          <w:spacing w:val="10"/>
        </w:rPr>
      </w:pPr>
      <w:r>
        <w:rPr>
          <w:rFonts w:ascii="宋体" w:hAnsi="宋体" w:hint="eastAsia"/>
          <w:spacing w:val="10"/>
        </w:rPr>
        <w:t>若投资人以50000元本金认购“汇富理财**期”35天人民币理财产品运作期满，理财产品经测算可达的年化收益率为*%。</w:t>
      </w:r>
    </w:p>
    <w:p w:rsidR="00E00F55" w:rsidRDefault="00E00F55" w:rsidP="00A0125F">
      <w:pPr>
        <w:ind w:firstLineChars="200" w:firstLine="460"/>
        <w:rPr>
          <w:rFonts w:ascii="宋体" w:hAnsi="宋体"/>
          <w:spacing w:val="10"/>
        </w:rPr>
      </w:pPr>
      <w:r>
        <w:rPr>
          <w:rFonts w:ascii="宋体" w:hAnsi="宋体" w:hint="eastAsia"/>
          <w:spacing w:val="10"/>
        </w:rPr>
        <w:lastRenderedPageBreak/>
        <w:t>投资人到期收到款项=50000+50000×*%×35÷365=*****元。</w:t>
      </w:r>
    </w:p>
    <w:p w:rsidR="00E00F55" w:rsidRDefault="00E00F55" w:rsidP="00A0125F">
      <w:pPr>
        <w:ind w:firstLineChars="200" w:firstLine="460"/>
        <w:rPr>
          <w:rFonts w:ascii="宋体" w:hAnsi="宋体"/>
          <w:spacing w:val="10"/>
        </w:rPr>
      </w:pPr>
      <w:r>
        <w:rPr>
          <w:rFonts w:ascii="宋体" w:hAnsi="宋体" w:hint="eastAsia"/>
          <w:spacing w:val="10"/>
        </w:rPr>
        <w:t>示例二：</w:t>
      </w:r>
    </w:p>
    <w:p w:rsidR="00E00F55" w:rsidRDefault="00E00F55" w:rsidP="00A0125F">
      <w:pPr>
        <w:ind w:firstLineChars="200" w:firstLine="460"/>
        <w:rPr>
          <w:rFonts w:ascii="宋体" w:hAnsi="宋体"/>
          <w:spacing w:val="10"/>
        </w:rPr>
      </w:pPr>
      <w:r>
        <w:rPr>
          <w:rFonts w:ascii="宋体" w:hAnsi="宋体" w:hint="eastAsia"/>
          <w:spacing w:val="10"/>
        </w:rPr>
        <w:t>若投资人认购本理财产品，产品运作期满，最不利情况下，投资组合内所有资产均发生以上所述的风险事件，且投资组合内所有资产均发生全额损失，则投资人到期收到款项为</w:t>
      </w:r>
      <w:r>
        <w:rPr>
          <w:rFonts w:ascii="宋体" w:hAnsi="宋体"/>
          <w:spacing w:val="10"/>
        </w:rPr>
        <w:t>0</w:t>
      </w:r>
      <w:r>
        <w:rPr>
          <w:rFonts w:ascii="宋体" w:hAnsi="宋体" w:hint="eastAsia"/>
          <w:spacing w:val="10"/>
        </w:rPr>
        <w:t>，即投资人面临全部本金与收益的损失。</w:t>
      </w:r>
    </w:p>
    <w:p w:rsidR="00E00F55" w:rsidRDefault="00E00F55" w:rsidP="00A0125F">
      <w:pPr>
        <w:ind w:firstLineChars="200" w:firstLine="460"/>
        <w:rPr>
          <w:rFonts w:ascii="宋体" w:hAnsi="宋体"/>
          <w:spacing w:val="10"/>
        </w:rPr>
      </w:pPr>
      <w:r>
        <w:rPr>
          <w:rFonts w:ascii="宋体" w:hAnsi="宋体" w:hint="eastAsia"/>
          <w:spacing w:val="10"/>
        </w:rPr>
        <w:t>（三）产品到期兑付</w:t>
      </w:r>
    </w:p>
    <w:p w:rsidR="00E00F55" w:rsidRDefault="00E00F55" w:rsidP="00A0125F">
      <w:pPr>
        <w:ind w:firstLineChars="200" w:firstLine="460"/>
        <w:rPr>
          <w:rFonts w:ascii="宋体" w:hAnsi="宋体"/>
          <w:spacing w:val="10"/>
        </w:rPr>
      </w:pPr>
      <w:r>
        <w:rPr>
          <w:rFonts w:ascii="宋体" w:hAnsi="宋体" w:hint="eastAsia"/>
          <w:spacing w:val="10"/>
        </w:rPr>
        <w:t>实际到期日，银行按客户认购金额将本金和收益全额支付给客户。</w:t>
      </w:r>
    </w:p>
    <w:p w:rsidR="00E00F55" w:rsidRDefault="00E00F55" w:rsidP="00A0125F">
      <w:pPr>
        <w:ind w:firstLineChars="200" w:firstLine="482"/>
        <w:rPr>
          <w:rFonts w:ascii="宋体" w:hAnsi="宋体"/>
          <w:b/>
          <w:sz w:val="24"/>
        </w:rPr>
      </w:pPr>
      <w:r>
        <w:rPr>
          <w:rFonts w:ascii="宋体" w:hAnsi="宋体" w:hint="eastAsia"/>
          <w:b/>
          <w:sz w:val="24"/>
        </w:rPr>
        <w:t>第五条  收益率历史参考</w:t>
      </w:r>
    </w:p>
    <w:p w:rsidR="00E00F55" w:rsidRPr="00864A63" w:rsidRDefault="00E00F55" w:rsidP="004E4891">
      <w:pPr>
        <w:ind w:firstLineChars="200" w:firstLine="460"/>
        <w:rPr>
          <w:rFonts w:ascii="宋体" w:hAnsi="宋体"/>
          <w:spacing w:val="10"/>
        </w:rPr>
      </w:pPr>
      <w:r w:rsidRPr="00864A63">
        <w:rPr>
          <w:rFonts w:ascii="宋体" w:hAnsi="宋体" w:hint="eastAsia"/>
          <w:spacing w:val="10"/>
        </w:rPr>
        <w:t>本理财产品采用20</w:t>
      </w:r>
      <w:r w:rsidRPr="00864A63">
        <w:rPr>
          <w:rFonts w:ascii="宋体" w:hAnsi="宋体"/>
          <w:spacing w:val="10"/>
        </w:rPr>
        <w:t>2</w:t>
      </w:r>
      <w:r>
        <w:rPr>
          <w:rFonts w:ascii="宋体" w:hAnsi="宋体"/>
          <w:spacing w:val="10"/>
        </w:rPr>
        <w:t>1</w:t>
      </w:r>
      <w:r w:rsidRPr="00864A63">
        <w:rPr>
          <w:rFonts w:ascii="宋体" w:hAnsi="宋体" w:hint="eastAsia"/>
          <w:spacing w:val="10"/>
        </w:rPr>
        <w:t>年</w:t>
      </w:r>
      <w:r>
        <w:rPr>
          <w:rFonts w:ascii="宋体" w:hAnsi="宋体"/>
          <w:spacing w:val="10"/>
        </w:rPr>
        <w:t>3</w:t>
      </w:r>
      <w:r w:rsidRPr="00864A63">
        <w:rPr>
          <w:rFonts w:ascii="宋体" w:hAnsi="宋体" w:hint="eastAsia"/>
          <w:spacing w:val="10"/>
        </w:rPr>
        <w:t>月的相关历史数据，以上述投资方向、投资理念、资金配置策略等为准则，对所挂钩本理财产品年化收益率进行了历史模拟：</w:t>
      </w:r>
    </w:p>
    <w:tbl>
      <w:tblPr>
        <w:tblW w:w="0" w:type="auto"/>
        <w:jc w:val="center"/>
        <w:tblLayout w:type="fixed"/>
        <w:tblLook w:val="04A0" w:firstRow="1" w:lastRow="0" w:firstColumn="1" w:lastColumn="0" w:noHBand="0" w:noVBand="1"/>
      </w:tblPr>
      <w:tblGrid>
        <w:gridCol w:w="1320"/>
        <w:gridCol w:w="2013"/>
        <w:gridCol w:w="4407"/>
      </w:tblGrid>
      <w:tr w:rsidR="00E00F55" w:rsidRPr="00864A63" w:rsidTr="00384350">
        <w:trPr>
          <w:trHeight w:val="539"/>
          <w:jc w:val="center"/>
        </w:trPr>
        <w:tc>
          <w:tcPr>
            <w:tcW w:w="1320" w:type="dxa"/>
            <w:tcBorders>
              <w:top w:val="single" w:sz="4" w:space="0" w:color="auto"/>
              <w:left w:val="single" w:sz="4" w:space="0" w:color="auto"/>
              <w:bottom w:val="single" w:sz="4" w:space="0" w:color="auto"/>
              <w:right w:val="single" w:sz="4" w:space="0" w:color="auto"/>
            </w:tcBorders>
            <w:vAlign w:val="center"/>
            <w:hideMark/>
          </w:tcPr>
          <w:p w:rsidR="00E00F55" w:rsidRPr="00864A63" w:rsidRDefault="00E00F55" w:rsidP="00384350">
            <w:pPr>
              <w:widowControl/>
              <w:jc w:val="center"/>
              <w:rPr>
                <w:rFonts w:ascii="宋体" w:hAnsi="宋体" w:cs="宋体"/>
                <w:kern w:val="0"/>
                <w:sz w:val="24"/>
              </w:rPr>
            </w:pPr>
            <w:r w:rsidRPr="00864A63">
              <w:rPr>
                <w:rFonts w:ascii="宋体" w:hAnsi="宋体" w:cs="宋体" w:hint="eastAsia"/>
                <w:kern w:val="0"/>
                <w:sz w:val="24"/>
              </w:rPr>
              <w:t>投资范围</w:t>
            </w:r>
          </w:p>
        </w:tc>
        <w:tc>
          <w:tcPr>
            <w:tcW w:w="2013" w:type="dxa"/>
            <w:tcBorders>
              <w:top w:val="single" w:sz="4" w:space="0" w:color="auto"/>
              <w:left w:val="nil"/>
              <w:bottom w:val="single" w:sz="4" w:space="0" w:color="auto"/>
              <w:right w:val="single" w:sz="4" w:space="0" w:color="auto"/>
            </w:tcBorders>
            <w:vAlign w:val="center"/>
            <w:hideMark/>
          </w:tcPr>
          <w:p w:rsidR="00E00F55" w:rsidRPr="00864A63" w:rsidRDefault="00E00F55" w:rsidP="00384350">
            <w:pPr>
              <w:widowControl/>
              <w:jc w:val="center"/>
              <w:rPr>
                <w:rFonts w:ascii="宋体" w:hAnsi="宋体" w:cs="宋体"/>
                <w:kern w:val="0"/>
                <w:sz w:val="24"/>
              </w:rPr>
            </w:pPr>
            <w:r w:rsidRPr="00864A63">
              <w:rPr>
                <w:rFonts w:ascii="宋体" w:hAnsi="宋体" w:cs="宋体" w:hint="eastAsia"/>
                <w:kern w:val="0"/>
                <w:sz w:val="24"/>
              </w:rPr>
              <w:t>模拟年化收益率</w:t>
            </w:r>
          </w:p>
        </w:tc>
        <w:tc>
          <w:tcPr>
            <w:tcW w:w="4407" w:type="dxa"/>
            <w:tcBorders>
              <w:top w:val="single" w:sz="4" w:space="0" w:color="auto"/>
              <w:left w:val="nil"/>
              <w:bottom w:val="single" w:sz="4" w:space="0" w:color="auto"/>
              <w:right w:val="single" w:sz="4" w:space="0" w:color="auto"/>
            </w:tcBorders>
            <w:vAlign w:val="center"/>
            <w:hideMark/>
          </w:tcPr>
          <w:p w:rsidR="00E00F55" w:rsidRPr="00864A63" w:rsidRDefault="00E00F55" w:rsidP="00384350">
            <w:pPr>
              <w:widowControl/>
              <w:jc w:val="center"/>
              <w:rPr>
                <w:rFonts w:ascii="宋体" w:hAnsi="宋体" w:cs="宋体"/>
                <w:kern w:val="0"/>
                <w:sz w:val="24"/>
              </w:rPr>
            </w:pPr>
            <w:r w:rsidRPr="00864A63">
              <w:rPr>
                <w:rFonts w:ascii="宋体" w:hAnsi="宋体" w:cs="宋体" w:hint="eastAsia"/>
                <w:kern w:val="0"/>
                <w:sz w:val="24"/>
              </w:rPr>
              <w:t>测算依据</w:t>
            </w:r>
          </w:p>
        </w:tc>
      </w:tr>
      <w:tr w:rsidR="00E00F55" w:rsidRPr="00864A63" w:rsidTr="00384350">
        <w:trPr>
          <w:trHeight w:val="405"/>
          <w:jc w:val="center"/>
        </w:trPr>
        <w:tc>
          <w:tcPr>
            <w:tcW w:w="1320" w:type="dxa"/>
            <w:tcBorders>
              <w:top w:val="nil"/>
              <w:left w:val="single" w:sz="4" w:space="0" w:color="auto"/>
              <w:bottom w:val="single" w:sz="4" w:space="0" w:color="auto"/>
              <w:right w:val="single" w:sz="4" w:space="0" w:color="auto"/>
            </w:tcBorders>
            <w:vAlign w:val="center"/>
            <w:hideMark/>
          </w:tcPr>
          <w:p w:rsidR="00E00F55" w:rsidRPr="00864A63" w:rsidRDefault="00E00F55" w:rsidP="00384350">
            <w:pPr>
              <w:widowControl/>
              <w:jc w:val="center"/>
              <w:rPr>
                <w:rFonts w:ascii="宋体" w:hAnsi="宋体" w:cs="宋体"/>
                <w:kern w:val="0"/>
                <w:sz w:val="22"/>
                <w:szCs w:val="22"/>
              </w:rPr>
            </w:pPr>
            <w:r w:rsidRPr="00864A63">
              <w:rPr>
                <w:rFonts w:ascii="宋体" w:hAnsi="宋体" w:cs="宋体" w:hint="eastAsia"/>
                <w:kern w:val="0"/>
                <w:sz w:val="22"/>
                <w:szCs w:val="22"/>
              </w:rPr>
              <w:t>国债</w:t>
            </w:r>
          </w:p>
        </w:tc>
        <w:tc>
          <w:tcPr>
            <w:tcW w:w="2013" w:type="dxa"/>
            <w:tcBorders>
              <w:top w:val="nil"/>
              <w:left w:val="nil"/>
              <w:bottom w:val="single" w:sz="4" w:space="0" w:color="auto"/>
              <w:right w:val="single" w:sz="4" w:space="0" w:color="auto"/>
            </w:tcBorders>
            <w:vAlign w:val="center"/>
            <w:hideMark/>
          </w:tcPr>
          <w:p w:rsidR="00E00F55" w:rsidRPr="00864A63" w:rsidRDefault="00E00F55" w:rsidP="00384350">
            <w:pPr>
              <w:widowControl/>
              <w:jc w:val="center"/>
              <w:rPr>
                <w:rFonts w:ascii="宋体" w:hAnsi="宋体" w:cs="宋体"/>
                <w:kern w:val="0"/>
                <w:sz w:val="22"/>
                <w:szCs w:val="22"/>
              </w:rPr>
            </w:pPr>
            <w:r>
              <w:rPr>
                <w:rFonts w:ascii="宋体" w:hAnsi="宋体" w:cs="宋体"/>
                <w:kern w:val="0"/>
                <w:sz w:val="22"/>
                <w:szCs w:val="22"/>
              </w:rPr>
              <w:t>2.5123</w:t>
            </w:r>
            <w:r w:rsidRPr="00864A63">
              <w:rPr>
                <w:rFonts w:ascii="宋体" w:hAnsi="宋体" w:cs="宋体"/>
                <w:kern w:val="0"/>
                <w:sz w:val="22"/>
                <w:szCs w:val="22"/>
              </w:rPr>
              <w:t>%</w:t>
            </w:r>
          </w:p>
        </w:tc>
        <w:tc>
          <w:tcPr>
            <w:tcW w:w="4407" w:type="dxa"/>
            <w:tcBorders>
              <w:top w:val="nil"/>
              <w:left w:val="nil"/>
              <w:bottom w:val="single" w:sz="4" w:space="0" w:color="auto"/>
              <w:right w:val="single" w:sz="4" w:space="0" w:color="auto"/>
            </w:tcBorders>
            <w:vAlign w:val="center"/>
            <w:hideMark/>
          </w:tcPr>
          <w:p w:rsidR="00E00F55" w:rsidRPr="00864A63" w:rsidRDefault="00E00F55"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参考银行间市场1年期国债收益率</w:t>
            </w:r>
          </w:p>
        </w:tc>
      </w:tr>
      <w:tr w:rsidR="00E00F55" w:rsidRPr="00864A63" w:rsidTr="00384350">
        <w:trPr>
          <w:trHeight w:val="554"/>
          <w:jc w:val="center"/>
        </w:trPr>
        <w:tc>
          <w:tcPr>
            <w:tcW w:w="1320" w:type="dxa"/>
            <w:tcBorders>
              <w:top w:val="nil"/>
              <w:left w:val="single" w:sz="4" w:space="0" w:color="auto"/>
              <w:bottom w:val="single" w:sz="4" w:space="0" w:color="auto"/>
              <w:right w:val="single" w:sz="4" w:space="0" w:color="auto"/>
            </w:tcBorders>
            <w:vAlign w:val="center"/>
            <w:hideMark/>
          </w:tcPr>
          <w:p w:rsidR="00E00F55" w:rsidRPr="00864A63" w:rsidRDefault="00E00F55" w:rsidP="00384350">
            <w:pPr>
              <w:widowControl/>
              <w:jc w:val="center"/>
              <w:rPr>
                <w:rFonts w:ascii="宋体" w:hAnsi="宋体" w:cs="宋体"/>
                <w:kern w:val="0"/>
                <w:sz w:val="22"/>
                <w:szCs w:val="22"/>
              </w:rPr>
            </w:pPr>
            <w:r w:rsidRPr="00864A63">
              <w:rPr>
                <w:rFonts w:ascii="宋体" w:hAnsi="宋体" w:cs="宋体" w:hint="eastAsia"/>
                <w:kern w:val="0"/>
                <w:sz w:val="22"/>
                <w:szCs w:val="22"/>
              </w:rPr>
              <w:t>金融债</w:t>
            </w:r>
          </w:p>
        </w:tc>
        <w:tc>
          <w:tcPr>
            <w:tcW w:w="2013" w:type="dxa"/>
            <w:tcBorders>
              <w:top w:val="nil"/>
              <w:left w:val="nil"/>
              <w:bottom w:val="single" w:sz="4" w:space="0" w:color="auto"/>
              <w:right w:val="single" w:sz="4" w:space="0" w:color="auto"/>
            </w:tcBorders>
            <w:vAlign w:val="center"/>
            <w:hideMark/>
          </w:tcPr>
          <w:p w:rsidR="00E00F55" w:rsidRPr="00864A63" w:rsidRDefault="00E00F55" w:rsidP="00384350">
            <w:pPr>
              <w:widowControl/>
              <w:jc w:val="center"/>
              <w:rPr>
                <w:rFonts w:ascii="宋体" w:hAnsi="宋体" w:cs="宋体"/>
                <w:kern w:val="0"/>
                <w:sz w:val="22"/>
                <w:szCs w:val="22"/>
              </w:rPr>
            </w:pPr>
            <w:r>
              <w:rPr>
                <w:rFonts w:ascii="宋体" w:hAnsi="宋体" w:cs="宋体"/>
                <w:kern w:val="0"/>
                <w:sz w:val="22"/>
                <w:szCs w:val="22"/>
              </w:rPr>
              <w:t>2.8326</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E00F55" w:rsidRPr="00864A63" w:rsidRDefault="00E00F55"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参考银行间市场1年期国开债收益率</w:t>
            </w:r>
          </w:p>
        </w:tc>
      </w:tr>
      <w:tr w:rsidR="00E00F55" w:rsidRPr="00864A63" w:rsidTr="00384350">
        <w:trPr>
          <w:trHeight w:val="419"/>
          <w:jc w:val="center"/>
        </w:trPr>
        <w:tc>
          <w:tcPr>
            <w:tcW w:w="1320" w:type="dxa"/>
            <w:vMerge w:val="restart"/>
            <w:tcBorders>
              <w:top w:val="nil"/>
              <w:left w:val="single" w:sz="4" w:space="0" w:color="auto"/>
              <w:bottom w:val="single" w:sz="4" w:space="0" w:color="auto"/>
              <w:right w:val="single" w:sz="4" w:space="0" w:color="auto"/>
            </w:tcBorders>
            <w:vAlign w:val="center"/>
            <w:hideMark/>
          </w:tcPr>
          <w:p w:rsidR="00E00F55" w:rsidRPr="00864A63" w:rsidRDefault="00E00F55" w:rsidP="00384350">
            <w:pPr>
              <w:widowControl/>
              <w:jc w:val="center"/>
              <w:rPr>
                <w:rFonts w:ascii="宋体" w:hAnsi="宋体" w:cs="宋体"/>
                <w:kern w:val="0"/>
                <w:sz w:val="22"/>
                <w:szCs w:val="22"/>
              </w:rPr>
            </w:pPr>
            <w:r w:rsidRPr="00864A63">
              <w:rPr>
                <w:rFonts w:ascii="宋体" w:hAnsi="宋体" w:cs="宋体" w:hint="eastAsia"/>
                <w:kern w:val="0"/>
                <w:sz w:val="22"/>
                <w:szCs w:val="22"/>
              </w:rPr>
              <w:t>企业债</w:t>
            </w:r>
          </w:p>
        </w:tc>
        <w:tc>
          <w:tcPr>
            <w:tcW w:w="2013" w:type="dxa"/>
            <w:tcBorders>
              <w:top w:val="nil"/>
              <w:left w:val="nil"/>
              <w:bottom w:val="single" w:sz="4" w:space="0" w:color="auto"/>
              <w:right w:val="single" w:sz="4" w:space="0" w:color="auto"/>
            </w:tcBorders>
            <w:vAlign w:val="center"/>
            <w:hideMark/>
          </w:tcPr>
          <w:p w:rsidR="00E00F55" w:rsidRPr="00864A63" w:rsidRDefault="00E00F55" w:rsidP="00384350">
            <w:pPr>
              <w:widowControl/>
              <w:jc w:val="center"/>
              <w:rPr>
                <w:rFonts w:ascii="宋体" w:hAnsi="宋体" w:cs="宋体"/>
                <w:kern w:val="0"/>
                <w:sz w:val="22"/>
                <w:szCs w:val="22"/>
              </w:rPr>
            </w:pPr>
            <w:r>
              <w:rPr>
                <w:rFonts w:ascii="宋体" w:hAnsi="宋体" w:cs="宋体"/>
                <w:kern w:val="0"/>
                <w:sz w:val="22"/>
                <w:szCs w:val="22"/>
              </w:rPr>
              <w:t>3.9765</w:t>
            </w:r>
          </w:p>
        </w:tc>
        <w:tc>
          <w:tcPr>
            <w:tcW w:w="4407" w:type="dxa"/>
            <w:tcBorders>
              <w:top w:val="nil"/>
              <w:left w:val="nil"/>
              <w:bottom w:val="single" w:sz="4" w:space="0" w:color="auto"/>
              <w:right w:val="single" w:sz="4" w:space="0" w:color="auto"/>
            </w:tcBorders>
            <w:vAlign w:val="center"/>
            <w:hideMark/>
          </w:tcPr>
          <w:p w:rsidR="00E00F55" w:rsidRPr="00864A63" w:rsidRDefault="00E00F55"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参考银行间5年期AAA级企业债收益率</w:t>
            </w:r>
          </w:p>
        </w:tc>
      </w:tr>
      <w:tr w:rsidR="00E00F55" w:rsidRPr="00864A63" w:rsidTr="00384350">
        <w:trPr>
          <w:trHeight w:val="411"/>
          <w:jc w:val="center"/>
        </w:trPr>
        <w:tc>
          <w:tcPr>
            <w:tcW w:w="1320" w:type="dxa"/>
            <w:vMerge/>
            <w:tcBorders>
              <w:top w:val="nil"/>
              <w:left w:val="single" w:sz="4" w:space="0" w:color="auto"/>
              <w:bottom w:val="single" w:sz="4" w:space="0" w:color="auto"/>
              <w:right w:val="single" w:sz="4" w:space="0" w:color="auto"/>
            </w:tcBorders>
            <w:vAlign w:val="center"/>
            <w:hideMark/>
          </w:tcPr>
          <w:p w:rsidR="00E00F55" w:rsidRPr="00864A63" w:rsidRDefault="00E00F55" w:rsidP="00384350">
            <w:pPr>
              <w:widowControl/>
              <w:jc w:val="left"/>
              <w:rPr>
                <w:rFonts w:ascii="宋体" w:hAnsi="宋体" w:cs="宋体"/>
                <w:kern w:val="0"/>
                <w:sz w:val="22"/>
                <w:szCs w:val="22"/>
              </w:rPr>
            </w:pPr>
          </w:p>
        </w:tc>
        <w:tc>
          <w:tcPr>
            <w:tcW w:w="2013" w:type="dxa"/>
            <w:tcBorders>
              <w:top w:val="nil"/>
              <w:left w:val="nil"/>
              <w:bottom w:val="single" w:sz="4" w:space="0" w:color="auto"/>
              <w:right w:val="single" w:sz="4" w:space="0" w:color="auto"/>
            </w:tcBorders>
            <w:vAlign w:val="center"/>
            <w:hideMark/>
          </w:tcPr>
          <w:p w:rsidR="00E00F55" w:rsidRPr="00864A63" w:rsidRDefault="00E00F55" w:rsidP="00384350">
            <w:pPr>
              <w:widowControl/>
              <w:jc w:val="center"/>
              <w:rPr>
                <w:rFonts w:ascii="宋体" w:hAnsi="宋体" w:cs="宋体"/>
                <w:kern w:val="0"/>
                <w:sz w:val="22"/>
                <w:szCs w:val="22"/>
              </w:rPr>
            </w:pPr>
            <w:r>
              <w:rPr>
                <w:rFonts w:ascii="宋体" w:hAnsi="宋体" w:cs="宋体"/>
                <w:kern w:val="0"/>
                <w:sz w:val="22"/>
                <w:szCs w:val="22"/>
              </w:rPr>
              <w:t>4.6065</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E00F55" w:rsidRPr="00864A63" w:rsidRDefault="00E00F55"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参考银行间5年期AA级企业债收益率</w:t>
            </w:r>
          </w:p>
        </w:tc>
      </w:tr>
      <w:tr w:rsidR="00E00F55" w:rsidRPr="00864A63" w:rsidTr="00384350">
        <w:trPr>
          <w:trHeight w:val="417"/>
          <w:jc w:val="center"/>
        </w:trPr>
        <w:tc>
          <w:tcPr>
            <w:tcW w:w="1320" w:type="dxa"/>
            <w:vMerge w:val="restart"/>
            <w:tcBorders>
              <w:top w:val="nil"/>
              <w:left w:val="single" w:sz="4" w:space="0" w:color="auto"/>
              <w:bottom w:val="single" w:sz="4" w:space="0" w:color="auto"/>
              <w:right w:val="single" w:sz="4" w:space="0" w:color="auto"/>
            </w:tcBorders>
            <w:vAlign w:val="center"/>
            <w:hideMark/>
          </w:tcPr>
          <w:p w:rsidR="00E00F55" w:rsidRPr="00864A63" w:rsidRDefault="00E00F55" w:rsidP="00384350">
            <w:pPr>
              <w:widowControl/>
              <w:jc w:val="center"/>
              <w:rPr>
                <w:rFonts w:ascii="宋体" w:hAnsi="宋体" w:cs="宋体"/>
                <w:kern w:val="0"/>
                <w:sz w:val="22"/>
                <w:szCs w:val="22"/>
              </w:rPr>
            </w:pPr>
            <w:r w:rsidRPr="00864A63">
              <w:rPr>
                <w:rFonts w:ascii="宋体" w:hAnsi="宋体" w:cs="宋体" w:hint="eastAsia"/>
                <w:kern w:val="0"/>
                <w:sz w:val="22"/>
                <w:szCs w:val="22"/>
              </w:rPr>
              <w:t>中期票据</w:t>
            </w:r>
          </w:p>
        </w:tc>
        <w:tc>
          <w:tcPr>
            <w:tcW w:w="2013" w:type="dxa"/>
            <w:tcBorders>
              <w:top w:val="nil"/>
              <w:left w:val="nil"/>
              <w:bottom w:val="single" w:sz="4" w:space="0" w:color="auto"/>
              <w:right w:val="single" w:sz="4" w:space="0" w:color="auto"/>
            </w:tcBorders>
            <w:vAlign w:val="center"/>
            <w:hideMark/>
          </w:tcPr>
          <w:p w:rsidR="00E00F55" w:rsidRPr="00864A63" w:rsidRDefault="00E00F55" w:rsidP="00384350">
            <w:pPr>
              <w:widowControl/>
              <w:jc w:val="center"/>
              <w:rPr>
                <w:rFonts w:ascii="宋体" w:hAnsi="宋体" w:cs="宋体"/>
                <w:kern w:val="0"/>
                <w:sz w:val="22"/>
                <w:szCs w:val="22"/>
              </w:rPr>
            </w:pPr>
            <w:r>
              <w:rPr>
                <w:rFonts w:ascii="宋体" w:hAnsi="宋体" w:cs="宋体"/>
                <w:kern w:val="0"/>
                <w:sz w:val="22"/>
                <w:szCs w:val="22"/>
              </w:rPr>
              <w:t>3.9765</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E00F55" w:rsidRPr="00864A63" w:rsidRDefault="00E00F55"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参考银行间5年期AAA级中期票据收益率</w:t>
            </w:r>
          </w:p>
        </w:tc>
      </w:tr>
      <w:tr w:rsidR="00E00F55" w:rsidRPr="00864A63" w:rsidTr="00384350">
        <w:trPr>
          <w:trHeight w:val="423"/>
          <w:jc w:val="center"/>
        </w:trPr>
        <w:tc>
          <w:tcPr>
            <w:tcW w:w="1320" w:type="dxa"/>
            <w:vMerge/>
            <w:tcBorders>
              <w:top w:val="nil"/>
              <w:left w:val="single" w:sz="4" w:space="0" w:color="auto"/>
              <w:bottom w:val="single" w:sz="4" w:space="0" w:color="auto"/>
              <w:right w:val="single" w:sz="4" w:space="0" w:color="auto"/>
            </w:tcBorders>
            <w:vAlign w:val="center"/>
            <w:hideMark/>
          </w:tcPr>
          <w:p w:rsidR="00E00F55" w:rsidRPr="00864A63" w:rsidRDefault="00E00F55" w:rsidP="00384350">
            <w:pPr>
              <w:widowControl/>
              <w:jc w:val="left"/>
              <w:rPr>
                <w:rFonts w:ascii="宋体" w:hAnsi="宋体" w:cs="宋体"/>
                <w:kern w:val="0"/>
                <w:sz w:val="22"/>
                <w:szCs w:val="22"/>
              </w:rPr>
            </w:pPr>
          </w:p>
        </w:tc>
        <w:tc>
          <w:tcPr>
            <w:tcW w:w="2013" w:type="dxa"/>
            <w:tcBorders>
              <w:top w:val="nil"/>
              <w:left w:val="nil"/>
              <w:bottom w:val="single" w:sz="4" w:space="0" w:color="auto"/>
              <w:right w:val="single" w:sz="4" w:space="0" w:color="auto"/>
            </w:tcBorders>
            <w:vAlign w:val="center"/>
            <w:hideMark/>
          </w:tcPr>
          <w:p w:rsidR="00E00F55" w:rsidRPr="00864A63" w:rsidRDefault="00E00F55" w:rsidP="00384350">
            <w:pPr>
              <w:widowControl/>
              <w:jc w:val="center"/>
              <w:rPr>
                <w:rFonts w:ascii="宋体" w:hAnsi="宋体" w:cs="宋体"/>
                <w:kern w:val="0"/>
                <w:sz w:val="22"/>
                <w:szCs w:val="22"/>
              </w:rPr>
            </w:pPr>
            <w:r>
              <w:rPr>
                <w:rFonts w:ascii="宋体" w:hAnsi="宋体" w:cs="宋体"/>
                <w:kern w:val="0"/>
                <w:sz w:val="22"/>
                <w:szCs w:val="22"/>
              </w:rPr>
              <w:t>4.6065</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E00F55" w:rsidRPr="00864A63" w:rsidRDefault="00E00F55"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参考银行间5年期AA级中期票据收益率</w:t>
            </w:r>
          </w:p>
        </w:tc>
      </w:tr>
      <w:tr w:rsidR="00E00F55" w:rsidRPr="00864A63" w:rsidTr="00384350">
        <w:trPr>
          <w:trHeight w:val="416"/>
          <w:jc w:val="center"/>
        </w:trPr>
        <w:tc>
          <w:tcPr>
            <w:tcW w:w="1320" w:type="dxa"/>
            <w:vMerge w:val="restart"/>
            <w:tcBorders>
              <w:top w:val="nil"/>
              <w:left w:val="single" w:sz="4" w:space="0" w:color="auto"/>
              <w:bottom w:val="single" w:sz="4" w:space="0" w:color="auto"/>
              <w:right w:val="single" w:sz="4" w:space="0" w:color="auto"/>
            </w:tcBorders>
            <w:vAlign w:val="center"/>
            <w:hideMark/>
          </w:tcPr>
          <w:p w:rsidR="00E00F55" w:rsidRPr="00864A63" w:rsidRDefault="00E00F55" w:rsidP="00384350">
            <w:pPr>
              <w:widowControl/>
              <w:jc w:val="center"/>
              <w:rPr>
                <w:rFonts w:ascii="宋体" w:hAnsi="宋体" w:cs="宋体"/>
                <w:kern w:val="0"/>
                <w:sz w:val="22"/>
                <w:szCs w:val="22"/>
              </w:rPr>
            </w:pPr>
            <w:r w:rsidRPr="00864A63">
              <w:rPr>
                <w:rFonts w:ascii="宋体" w:hAnsi="宋体" w:cs="宋体" w:hint="eastAsia"/>
                <w:kern w:val="0"/>
                <w:sz w:val="22"/>
                <w:szCs w:val="22"/>
              </w:rPr>
              <w:t>短期融资券</w:t>
            </w:r>
          </w:p>
        </w:tc>
        <w:tc>
          <w:tcPr>
            <w:tcW w:w="2013" w:type="dxa"/>
            <w:tcBorders>
              <w:top w:val="nil"/>
              <w:left w:val="nil"/>
              <w:bottom w:val="single" w:sz="4" w:space="0" w:color="auto"/>
              <w:right w:val="single" w:sz="4" w:space="0" w:color="auto"/>
            </w:tcBorders>
            <w:vAlign w:val="center"/>
            <w:hideMark/>
          </w:tcPr>
          <w:p w:rsidR="00E00F55" w:rsidRPr="00864A63" w:rsidRDefault="00E00F55" w:rsidP="00384350">
            <w:pPr>
              <w:widowControl/>
              <w:jc w:val="center"/>
              <w:rPr>
                <w:rFonts w:ascii="宋体" w:hAnsi="宋体" w:cs="宋体"/>
                <w:kern w:val="0"/>
                <w:sz w:val="22"/>
                <w:szCs w:val="22"/>
              </w:rPr>
            </w:pPr>
            <w:r>
              <w:rPr>
                <w:rFonts w:ascii="宋体" w:hAnsi="宋体" w:cs="宋体"/>
                <w:kern w:val="0"/>
                <w:sz w:val="22"/>
                <w:szCs w:val="22"/>
              </w:rPr>
              <w:t>3.1041</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E00F55" w:rsidRPr="00864A63" w:rsidRDefault="00E00F55"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参考银行间1年期AAA级短期融资券收益率</w:t>
            </w:r>
          </w:p>
        </w:tc>
      </w:tr>
      <w:tr w:rsidR="00E00F55" w:rsidRPr="00864A63" w:rsidTr="00384350">
        <w:trPr>
          <w:trHeight w:val="407"/>
          <w:jc w:val="center"/>
        </w:trPr>
        <w:tc>
          <w:tcPr>
            <w:tcW w:w="1320" w:type="dxa"/>
            <w:vMerge/>
            <w:tcBorders>
              <w:top w:val="nil"/>
              <w:left w:val="single" w:sz="4" w:space="0" w:color="auto"/>
              <w:bottom w:val="single" w:sz="4" w:space="0" w:color="auto"/>
              <w:right w:val="single" w:sz="4" w:space="0" w:color="auto"/>
            </w:tcBorders>
            <w:vAlign w:val="center"/>
            <w:hideMark/>
          </w:tcPr>
          <w:p w:rsidR="00E00F55" w:rsidRPr="00864A63" w:rsidRDefault="00E00F55" w:rsidP="00384350">
            <w:pPr>
              <w:widowControl/>
              <w:jc w:val="left"/>
              <w:rPr>
                <w:rFonts w:ascii="宋体" w:hAnsi="宋体" w:cs="宋体"/>
                <w:kern w:val="0"/>
                <w:sz w:val="22"/>
                <w:szCs w:val="22"/>
              </w:rPr>
            </w:pPr>
          </w:p>
        </w:tc>
        <w:tc>
          <w:tcPr>
            <w:tcW w:w="2013" w:type="dxa"/>
            <w:tcBorders>
              <w:top w:val="nil"/>
              <w:left w:val="nil"/>
              <w:bottom w:val="single" w:sz="4" w:space="0" w:color="auto"/>
              <w:right w:val="single" w:sz="4" w:space="0" w:color="auto"/>
            </w:tcBorders>
            <w:vAlign w:val="center"/>
            <w:hideMark/>
          </w:tcPr>
          <w:p w:rsidR="00E00F55" w:rsidRPr="00864A63" w:rsidRDefault="00E00F55" w:rsidP="00384350">
            <w:pPr>
              <w:widowControl/>
              <w:jc w:val="center"/>
              <w:rPr>
                <w:rFonts w:ascii="宋体" w:hAnsi="宋体" w:cs="宋体"/>
                <w:kern w:val="0"/>
                <w:sz w:val="22"/>
                <w:szCs w:val="22"/>
              </w:rPr>
            </w:pPr>
            <w:r>
              <w:rPr>
                <w:rFonts w:ascii="宋体" w:hAnsi="宋体" w:cs="宋体"/>
                <w:kern w:val="0"/>
                <w:sz w:val="22"/>
                <w:szCs w:val="22"/>
              </w:rPr>
              <w:t>3.3941</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E00F55" w:rsidRPr="00864A63" w:rsidRDefault="00E00F55"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参考银行间1年期AA级短期融资券收益率</w:t>
            </w:r>
          </w:p>
        </w:tc>
      </w:tr>
      <w:tr w:rsidR="00E00F55" w:rsidRPr="00864A63" w:rsidTr="00384350">
        <w:trPr>
          <w:trHeight w:val="427"/>
          <w:jc w:val="center"/>
        </w:trPr>
        <w:tc>
          <w:tcPr>
            <w:tcW w:w="1320" w:type="dxa"/>
            <w:tcBorders>
              <w:top w:val="nil"/>
              <w:left w:val="single" w:sz="4" w:space="0" w:color="auto"/>
              <w:bottom w:val="single" w:sz="4" w:space="0" w:color="auto"/>
              <w:right w:val="single" w:sz="4" w:space="0" w:color="auto"/>
            </w:tcBorders>
            <w:vAlign w:val="center"/>
            <w:hideMark/>
          </w:tcPr>
          <w:p w:rsidR="00E00F55" w:rsidRPr="00864A63" w:rsidRDefault="00E00F55" w:rsidP="00384350">
            <w:pPr>
              <w:widowControl/>
              <w:jc w:val="center"/>
              <w:rPr>
                <w:rFonts w:ascii="宋体" w:hAnsi="宋体" w:cs="宋体"/>
                <w:kern w:val="0"/>
                <w:sz w:val="22"/>
                <w:szCs w:val="22"/>
              </w:rPr>
            </w:pPr>
            <w:r w:rsidRPr="00864A63">
              <w:rPr>
                <w:rFonts w:ascii="宋体" w:hAnsi="宋体" w:cs="宋体" w:hint="eastAsia"/>
                <w:kern w:val="0"/>
                <w:sz w:val="22"/>
                <w:szCs w:val="22"/>
              </w:rPr>
              <w:t>回购</w:t>
            </w:r>
          </w:p>
        </w:tc>
        <w:tc>
          <w:tcPr>
            <w:tcW w:w="2013" w:type="dxa"/>
            <w:tcBorders>
              <w:top w:val="nil"/>
              <w:left w:val="nil"/>
              <w:bottom w:val="single" w:sz="4" w:space="0" w:color="auto"/>
              <w:right w:val="single" w:sz="4" w:space="0" w:color="auto"/>
            </w:tcBorders>
            <w:vAlign w:val="center"/>
            <w:hideMark/>
          </w:tcPr>
          <w:p w:rsidR="00E00F55" w:rsidRPr="00864A63" w:rsidRDefault="00E00F55" w:rsidP="00384350">
            <w:pPr>
              <w:widowControl/>
              <w:jc w:val="center"/>
              <w:rPr>
                <w:rFonts w:ascii="宋体" w:hAnsi="宋体" w:cs="宋体"/>
                <w:kern w:val="0"/>
                <w:sz w:val="22"/>
                <w:szCs w:val="22"/>
              </w:rPr>
            </w:pPr>
            <w:r w:rsidRPr="00864A63">
              <w:rPr>
                <w:rFonts w:ascii="宋体" w:hAnsi="宋体" w:cs="宋体"/>
                <w:kern w:val="0"/>
                <w:sz w:val="22"/>
                <w:szCs w:val="22"/>
              </w:rPr>
              <w:t>3.</w:t>
            </w:r>
            <w:r>
              <w:rPr>
                <w:rFonts w:ascii="宋体" w:hAnsi="宋体" w:cs="宋体"/>
                <w:kern w:val="0"/>
                <w:sz w:val="22"/>
                <w:szCs w:val="22"/>
              </w:rPr>
              <w:t>2847</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E00F55" w:rsidRPr="00864A63" w:rsidRDefault="00E00F55"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参考银行间市场1个月期回购利率</w:t>
            </w:r>
          </w:p>
        </w:tc>
      </w:tr>
      <w:tr w:rsidR="00E00F55" w:rsidRPr="00864A63" w:rsidTr="00384350">
        <w:trPr>
          <w:trHeight w:val="392"/>
          <w:jc w:val="center"/>
        </w:trPr>
        <w:tc>
          <w:tcPr>
            <w:tcW w:w="1320" w:type="dxa"/>
            <w:tcBorders>
              <w:top w:val="nil"/>
              <w:left w:val="single" w:sz="4" w:space="0" w:color="auto"/>
              <w:bottom w:val="single" w:sz="4" w:space="0" w:color="auto"/>
              <w:right w:val="single" w:sz="4" w:space="0" w:color="auto"/>
            </w:tcBorders>
            <w:vAlign w:val="center"/>
            <w:hideMark/>
          </w:tcPr>
          <w:p w:rsidR="00E00F55" w:rsidRPr="00864A63" w:rsidRDefault="00E00F55" w:rsidP="00384350">
            <w:pPr>
              <w:widowControl/>
              <w:jc w:val="center"/>
              <w:rPr>
                <w:rFonts w:ascii="宋体" w:hAnsi="宋体" w:cs="宋体"/>
                <w:kern w:val="0"/>
                <w:sz w:val="22"/>
                <w:szCs w:val="22"/>
              </w:rPr>
            </w:pPr>
            <w:r w:rsidRPr="00864A63">
              <w:rPr>
                <w:rFonts w:ascii="宋体" w:hAnsi="宋体" w:cs="宋体" w:hint="eastAsia"/>
                <w:kern w:val="0"/>
                <w:sz w:val="22"/>
                <w:szCs w:val="22"/>
              </w:rPr>
              <w:t>拆借</w:t>
            </w:r>
          </w:p>
        </w:tc>
        <w:tc>
          <w:tcPr>
            <w:tcW w:w="2013" w:type="dxa"/>
            <w:tcBorders>
              <w:top w:val="nil"/>
              <w:left w:val="nil"/>
              <w:bottom w:val="single" w:sz="4" w:space="0" w:color="auto"/>
              <w:right w:val="single" w:sz="4" w:space="0" w:color="auto"/>
            </w:tcBorders>
            <w:vAlign w:val="center"/>
            <w:hideMark/>
          </w:tcPr>
          <w:p w:rsidR="00E00F55" w:rsidRPr="00864A63" w:rsidRDefault="00E00F55" w:rsidP="00384350">
            <w:pPr>
              <w:widowControl/>
              <w:jc w:val="center"/>
              <w:rPr>
                <w:rFonts w:ascii="宋体" w:hAnsi="宋体" w:cs="宋体"/>
                <w:kern w:val="0"/>
                <w:sz w:val="22"/>
                <w:szCs w:val="22"/>
              </w:rPr>
            </w:pPr>
            <w:r>
              <w:rPr>
                <w:rFonts w:ascii="宋体" w:hAnsi="宋体" w:cs="宋体"/>
                <w:kern w:val="0"/>
                <w:sz w:val="22"/>
                <w:szCs w:val="22"/>
              </w:rPr>
              <w:t>2.3740</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E00F55" w:rsidRPr="00864A63" w:rsidRDefault="00E00F55"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参考银行间市场1个月期SHIBOR利率</w:t>
            </w:r>
          </w:p>
        </w:tc>
      </w:tr>
    </w:tbl>
    <w:p w:rsidR="00E00F55" w:rsidRDefault="00E00F55">
      <w:pPr>
        <w:ind w:firstLineChars="200" w:firstLine="460"/>
        <w:rPr>
          <w:rFonts w:ascii="宋体" w:hAnsi="宋体"/>
          <w:spacing w:val="10"/>
        </w:rPr>
      </w:pPr>
      <w:r w:rsidRPr="00864A63">
        <w:rPr>
          <w:rFonts w:ascii="宋体" w:hAnsi="宋体" w:hint="eastAsia"/>
          <w:spacing w:val="10"/>
        </w:rPr>
        <w:t>数据来源：</w:t>
      </w:r>
      <w:r>
        <w:rPr>
          <w:rFonts w:ascii="宋体" w:hAnsi="宋体" w:hint="eastAsia"/>
          <w:spacing w:val="10"/>
        </w:rPr>
        <w:t>万得</w:t>
      </w:r>
      <w:r w:rsidRPr="00864A63">
        <w:rPr>
          <w:rFonts w:ascii="宋体" w:hAnsi="宋体" w:hint="eastAsia"/>
          <w:spacing w:val="10"/>
        </w:rPr>
        <w:t>资讯</w:t>
      </w:r>
    </w:p>
    <w:p w:rsidR="00E00F55" w:rsidRDefault="00E00F55">
      <w:pPr>
        <w:ind w:firstLineChars="200" w:firstLine="460"/>
        <w:rPr>
          <w:rFonts w:ascii="宋体" w:hAnsi="宋体"/>
          <w:spacing w:val="10"/>
        </w:rPr>
      </w:pPr>
      <w:r>
        <w:rPr>
          <w:rFonts w:ascii="宋体" w:hAnsi="宋体" w:hint="eastAsia"/>
          <w:spacing w:val="10"/>
        </w:rPr>
        <w:t>上述收益率模拟建立在历史行情及影响因素分析的基础上，仅代表在上述投资相关准则下的历史业绩，不代表未来业绩，只作为未来业绩预期的参考，也不成为确定本理财产品预期收益率以及实现本理财产品最终收益率的可靠依据。本理财最终收益率实现将视市场情况等因素而定。</w:t>
      </w:r>
    </w:p>
    <w:p w:rsidR="00E00F55" w:rsidRDefault="00E00F55" w:rsidP="00B573F1">
      <w:pPr>
        <w:ind w:firstLineChars="200" w:firstLine="482"/>
        <w:rPr>
          <w:rFonts w:ascii="宋体" w:hAnsi="宋体"/>
          <w:b/>
          <w:spacing w:val="10"/>
          <w:sz w:val="24"/>
        </w:rPr>
      </w:pPr>
      <w:r>
        <w:rPr>
          <w:rFonts w:ascii="宋体" w:hAnsi="宋体" w:hint="eastAsia"/>
          <w:b/>
          <w:color w:val="000000"/>
          <w:kern w:val="0"/>
          <w:sz w:val="24"/>
          <w:u w:color="000000"/>
        </w:rPr>
        <w:t xml:space="preserve">第六条 </w:t>
      </w:r>
      <w:r>
        <w:rPr>
          <w:rFonts w:ascii="宋体" w:hAnsi="宋体" w:hint="eastAsia"/>
          <w:b/>
          <w:spacing w:val="10"/>
          <w:sz w:val="24"/>
        </w:rPr>
        <w:t xml:space="preserve"> 银行理财资产管理自律守则</w:t>
      </w:r>
    </w:p>
    <w:p w:rsidR="00E00F55" w:rsidRDefault="00E00F55" w:rsidP="00B573F1">
      <w:pPr>
        <w:ind w:firstLineChars="200" w:firstLine="460"/>
        <w:rPr>
          <w:rFonts w:ascii="宋体" w:hAnsi="宋体"/>
          <w:spacing w:val="10"/>
        </w:rPr>
      </w:pPr>
      <w:r>
        <w:rPr>
          <w:rFonts w:ascii="宋体" w:hAnsi="宋体" w:hint="eastAsia"/>
          <w:spacing w:val="10"/>
        </w:rPr>
        <w:t>（一）构造理念</w:t>
      </w:r>
    </w:p>
    <w:p w:rsidR="00E00F55" w:rsidRDefault="00E00F55" w:rsidP="00B573F1">
      <w:pPr>
        <w:ind w:firstLineChars="200" w:firstLine="460"/>
        <w:rPr>
          <w:rFonts w:ascii="宋体" w:hAnsi="宋体"/>
          <w:spacing w:val="10"/>
        </w:rPr>
      </w:pPr>
      <w:r>
        <w:rPr>
          <w:rFonts w:ascii="宋体" w:hAnsi="宋体" w:hint="eastAsia"/>
          <w:spacing w:val="10"/>
        </w:rPr>
        <w:t>以价值投资为基础，综合对市场长期走势及短期利率波动的判断，积极主动地寻找具有较高安全性和较高收益的资产构建稳健的资产组合，以期在保持安全性和流动性的前提下，帮助客户获取较高的收益。</w:t>
      </w:r>
    </w:p>
    <w:p w:rsidR="00E00F55" w:rsidRDefault="00E00F55" w:rsidP="00B573F1">
      <w:pPr>
        <w:ind w:firstLineChars="200" w:firstLine="460"/>
        <w:rPr>
          <w:rFonts w:ascii="宋体" w:hAnsi="宋体"/>
          <w:spacing w:val="10"/>
        </w:rPr>
      </w:pPr>
      <w:r>
        <w:rPr>
          <w:rFonts w:ascii="宋体" w:hAnsi="宋体" w:hint="eastAsia"/>
          <w:spacing w:val="10"/>
        </w:rPr>
        <w:t>（二）基本原则</w:t>
      </w:r>
    </w:p>
    <w:p w:rsidR="00E00F55" w:rsidRDefault="00E00F55" w:rsidP="00B573F1">
      <w:pPr>
        <w:ind w:firstLineChars="200" w:firstLine="460"/>
        <w:rPr>
          <w:rFonts w:ascii="宋体" w:hAnsi="宋体"/>
          <w:spacing w:val="10"/>
        </w:rPr>
      </w:pPr>
      <w:r>
        <w:rPr>
          <w:rFonts w:ascii="宋体" w:hAnsi="宋体"/>
          <w:spacing w:val="10"/>
        </w:rPr>
        <w:t>1、合规运作：严格遵守国家有关法律法规</w:t>
      </w:r>
      <w:r>
        <w:rPr>
          <w:rFonts w:ascii="宋体" w:hAnsi="宋体" w:hint="eastAsia"/>
          <w:spacing w:val="10"/>
        </w:rPr>
        <w:t>及监管规章</w:t>
      </w:r>
      <w:r>
        <w:rPr>
          <w:rFonts w:ascii="宋体" w:hAnsi="宋体"/>
          <w:spacing w:val="10"/>
        </w:rPr>
        <w:t>。</w:t>
      </w:r>
    </w:p>
    <w:p w:rsidR="00E00F55" w:rsidRDefault="00E00F55" w:rsidP="00B573F1">
      <w:pPr>
        <w:ind w:firstLineChars="200" w:firstLine="460"/>
        <w:rPr>
          <w:rFonts w:ascii="宋体" w:hAnsi="宋体"/>
          <w:spacing w:val="10"/>
        </w:rPr>
      </w:pPr>
      <w:r>
        <w:rPr>
          <w:rFonts w:ascii="宋体" w:hAnsi="宋体"/>
          <w:spacing w:val="10"/>
        </w:rPr>
        <w:t>2、客户利益最大化：以维护本理财产品的本金安全和收益保障作为组合构建的最高准则。</w:t>
      </w:r>
    </w:p>
    <w:p w:rsidR="00E00F55" w:rsidRDefault="00E00F55" w:rsidP="00B573F1">
      <w:pPr>
        <w:ind w:firstLineChars="200" w:firstLine="460"/>
        <w:rPr>
          <w:rFonts w:ascii="宋体" w:hAnsi="宋体"/>
          <w:spacing w:val="10"/>
        </w:rPr>
      </w:pPr>
      <w:r>
        <w:rPr>
          <w:rFonts w:ascii="宋体" w:hAnsi="宋体"/>
          <w:spacing w:val="10"/>
        </w:rPr>
        <w:t>3、分账户管理：逐期分账户封闭管理，确定本理财产品对应的专项理财资产与银行自营资产严格分离。</w:t>
      </w:r>
    </w:p>
    <w:p w:rsidR="00E00F55" w:rsidRDefault="00E00F55" w:rsidP="00B573F1">
      <w:pPr>
        <w:ind w:firstLineChars="200" w:firstLine="460"/>
        <w:rPr>
          <w:rFonts w:ascii="宋体" w:hAnsi="宋体"/>
          <w:spacing w:val="10"/>
        </w:rPr>
      </w:pPr>
      <w:r>
        <w:rPr>
          <w:rFonts w:ascii="宋体" w:hAnsi="宋体"/>
          <w:spacing w:val="10"/>
        </w:rPr>
        <w:t>4、尽职透明：严格在本理财产品说明书及对应协议书约定的专项理财资产运作方式范围内履行尽职管理责任，并对本理财产品风险予以充分揭示和披露。</w:t>
      </w:r>
    </w:p>
    <w:p w:rsidR="00E00F55" w:rsidRDefault="00E00F55" w:rsidP="00B573F1">
      <w:pPr>
        <w:ind w:firstLineChars="200" w:firstLine="482"/>
        <w:rPr>
          <w:rFonts w:ascii="宋体" w:hAnsi="宋体"/>
          <w:b/>
          <w:spacing w:val="10"/>
          <w:sz w:val="24"/>
        </w:rPr>
      </w:pPr>
      <w:r>
        <w:rPr>
          <w:rFonts w:ascii="宋体" w:hAnsi="宋体" w:hint="eastAsia"/>
          <w:b/>
          <w:color w:val="000000"/>
          <w:kern w:val="0"/>
          <w:sz w:val="24"/>
          <w:u w:color="000000"/>
        </w:rPr>
        <w:t xml:space="preserve">第七条 </w:t>
      </w:r>
      <w:r>
        <w:rPr>
          <w:rFonts w:ascii="宋体" w:hAnsi="宋体" w:hint="eastAsia"/>
          <w:b/>
          <w:spacing w:val="10"/>
          <w:sz w:val="24"/>
        </w:rPr>
        <w:t xml:space="preserve"> 理财产品的认购与兑付</w:t>
      </w:r>
    </w:p>
    <w:p w:rsidR="00E00F55" w:rsidRDefault="00E00F55" w:rsidP="00B573F1">
      <w:pPr>
        <w:ind w:firstLineChars="200" w:firstLine="460"/>
        <w:rPr>
          <w:rFonts w:ascii="宋体" w:hAnsi="宋体"/>
          <w:spacing w:val="10"/>
        </w:rPr>
      </w:pPr>
      <w:r>
        <w:rPr>
          <w:rFonts w:ascii="宋体" w:hAnsi="宋体" w:hint="eastAsia"/>
          <w:spacing w:val="10"/>
        </w:rPr>
        <w:t>（一）认购所需材料</w:t>
      </w:r>
    </w:p>
    <w:p w:rsidR="00E00F55" w:rsidRDefault="00E00F55" w:rsidP="00B573F1">
      <w:pPr>
        <w:ind w:firstLineChars="200" w:firstLine="460"/>
        <w:rPr>
          <w:rFonts w:ascii="宋体" w:hAnsi="宋体"/>
          <w:spacing w:val="10"/>
        </w:rPr>
      </w:pPr>
      <w:r>
        <w:rPr>
          <w:rFonts w:ascii="宋体" w:hAnsi="宋体" w:hint="eastAsia"/>
          <w:spacing w:val="10"/>
        </w:rPr>
        <w:lastRenderedPageBreak/>
        <w:t>1、个人客户</w:t>
      </w:r>
    </w:p>
    <w:p w:rsidR="00E00F55" w:rsidRDefault="00E00F55" w:rsidP="00B573F1">
      <w:pPr>
        <w:ind w:firstLineChars="200" w:firstLine="460"/>
        <w:rPr>
          <w:rFonts w:ascii="宋体" w:hAnsi="宋体"/>
          <w:spacing w:val="10"/>
        </w:rPr>
      </w:pPr>
      <w:r>
        <w:rPr>
          <w:rFonts w:ascii="宋体" w:hAnsi="宋体" w:hint="eastAsia"/>
          <w:spacing w:val="10"/>
        </w:rPr>
        <w:t>（1）本人有效身份证件原件；</w:t>
      </w:r>
    </w:p>
    <w:p w:rsidR="00E00F55" w:rsidRDefault="00E00F55" w:rsidP="00B573F1">
      <w:pPr>
        <w:ind w:firstLineChars="200" w:firstLine="460"/>
        <w:rPr>
          <w:rFonts w:ascii="宋体" w:hAnsi="宋体"/>
          <w:spacing w:val="10"/>
        </w:rPr>
      </w:pPr>
      <w:r>
        <w:rPr>
          <w:rFonts w:ascii="宋体" w:hAnsi="宋体" w:hint="eastAsia"/>
          <w:spacing w:val="10"/>
        </w:rPr>
        <w:t>（2）本人借记卡或存折；</w:t>
      </w:r>
    </w:p>
    <w:p w:rsidR="00E00F55" w:rsidRDefault="00E00F55" w:rsidP="00B573F1">
      <w:pPr>
        <w:ind w:firstLineChars="200" w:firstLine="460"/>
        <w:rPr>
          <w:rFonts w:ascii="宋体" w:hAnsi="宋体"/>
          <w:spacing w:val="10"/>
        </w:rPr>
      </w:pPr>
      <w:r>
        <w:rPr>
          <w:rFonts w:ascii="宋体" w:hAnsi="宋体" w:hint="eastAsia"/>
          <w:spacing w:val="10"/>
        </w:rPr>
        <w:t>（3）填妥并签署客户风险承受能力评估书；</w:t>
      </w:r>
    </w:p>
    <w:p w:rsidR="00E00F55" w:rsidRDefault="00E00F55" w:rsidP="00B573F1">
      <w:pPr>
        <w:ind w:firstLineChars="200" w:firstLine="460"/>
        <w:rPr>
          <w:rFonts w:ascii="宋体" w:hAnsi="宋体"/>
          <w:spacing w:val="10"/>
        </w:rPr>
      </w:pPr>
      <w:r>
        <w:rPr>
          <w:rFonts w:ascii="宋体" w:hAnsi="宋体" w:hint="eastAsia"/>
          <w:spacing w:val="10"/>
        </w:rPr>
        <w:t>（4）填妥并签署本理财产品协议书；</w:t>
      </w:r>
    </w:p>
    <w:p w:rsidR="00E00F55" w:rsidRDefault="00E00F55" w:rsidP="00B573F1">
      <w:pPr>
        <w:ind w:firstLineChars="200" w:firstLine="460"/>
        <w:rPr>
          <w:rFonts w:ascii="宋体" w:hAnsi="宋体"/>
          <w:spacing w:val="10"/>
        </w:rPr>
      </w:pPr>
      <w:r>
        <w:rPr>
          <w:rFonts w:ascii="宋体" w:hAnsi="宋体" w:hint="eastAsia"/>
          <w:spacing w:val="10"/>
        </w:rPr>
        <w:t>（5）其他银行需要的资料。</w:t>
      </w:r>
    </w:p>
    <w:p w:rsidR="00E00F55" w:rsidRDefault="00E00F55" w:rsidP="00B573F1">
      <w:pPr>
        <w:ind w:firstLineChars="200" w:firstLine="460"/>
        <w:rPr>
          <w:rFonts w:ascii="宋体" w:hAnsi="宋体"/>
          <w:spacing w:val="10"/>
        </w:rPr>
      </w:pPr>
      <w:r>
        <w:rPr>
          <w:rFonts w:ascii="宋体" w:hAnsi="宋体" w:hint="eastAsia"/>
          <w:spacing w:val="10"/>
        </w:rPr>
        <w:t>2、机构投资者</w:t>
      </w:r>
    </w:p>
    <w:p w:rsidR="00E00F55" w:rsidRDefault="00E00F55" w:rsidP="00B573F1">
      <w:pPr>
        <w:ind w:firstLineChars="200" w:firstLine="460"/>
        <w:rPr>
          <w:rFonts w:ascii="宋体" w:hAnsi="宋体"/>
          <w:spacing w:val="10"/>
        </w:rPr>
      </w:pPr>
      <w:r>
        <w:rPr>
          <w:rFonts w:ascii="宋体" w:hAnsi="宋体" w:hint="eastAsia"/>
          <w:spacing w:val="10"/>
        </w:rPr>
        <w:t>（1）法人营业执照、事业社团法人证明、军队或武警开户许可证、组织机构代码证及复印件（加盖单位公章），开户单位为分支机构的，还应提交法人授权、民政部门或其他主管部门颁发的注册登记证书及复印件（加盖单位公章）；</w:t>
      </w:r>
    </w:p>
    <w:p w:rsidR="00E00F55" w:rsidRDefault="00E00F55" w:rsidP="00B573F1">
      <w:pPr>
        <w:ind w:firstLineChars="200" w:firstLine="460"/>
        <w:rPr>
          <w:rFonts w:ascii="宋体" w:hAnsi="宋体"/>
          <w:spacing w:val="10"/>
        </w:rPr>
      </w:pPr>
      <w:r>
        <w:rPr>
          <w:rFonts w:ascii="宋体" w:hAnsi="宋体" w:hint="eastAsia"/>
          <w:spacing w:val="10"/>
        </w:rPr>
        <w:t>（2）提供法定代表人身份证复印件；</w:t>
      </w:r>
    </w:p>
    <w:p w:rsidR="00E00F55" w:rsidRDefault="00E00F55" w:rsidP="00B573F1">
      <w:pPr>
        <w:ind w:firstLineChars="200" w:firstLine="460"/>
        <w:rPr>
          <w:rFonts w:ascii="宋体" w:hAnsi="宋体"/>
          <w:spacing w:val="10"/>
        </w:rPr>
      </w:pPr>
      <w:r>
        <w:rPr>
          <w:rFonts w:ascii="宋体" w:hAnsi="宋体" w:hint="eastAsia"/>
          <w:spacing w:val="10"/>
        </w:rPr>
        <w:t>（3）授权经办人办理理财业务的授权委托书，被授权人的身份证明及复印件；</w:t>
      </w:r>
    </w:p>
    <w:p w:rsidR="00E00F55" w:rsidRDefault="00E00F55" w:rsidP="00B573F1">
      <w:pPr>
        <w:ind w:firstLineChars="200" w:firstLine="460"/>
        <w:rPr>
          <w:rFonts w:ascii="宋体" w:hAnsi="宋体"/>
          <w:spacing w:val="10"/>
        </w:rPr>
      </w:pPr>
      <w:r>
        <w:rPr>
          <w:rFonts w:ascii="宋体" w:hAnsi="宋体" w:hint="eastAsia"/>
          <w:spacing w:val="10"/>
        </w:rPr>
        <w:t>（4）本行资金账号（活期存款账号）；</w:t>
      </w:r>
    </w:p>
    <w:p w:rsidR="00E00F55" w:rsidRDefault="00E00F55" w:rsidP="00B573F1">
      <w:pPr>
        <w:ind w:firstLineChars="200" w:firstLine="460"/>
        <w:rPr>
          <w:rFonts w:ascii="宋体" w:hAnsi="宋体"/>
          <w:spacing w:val="10"/>
        </w:rPr>
      </w:pPr>
      <w:r>
        <w:rPr>
          <w:rFonts w:ascii="宋体" w:hAnsi="宋体" w:hint="eastAsia"/>
          <w:spacing w:val="10"/>
        </w:rPr>
        <w:t>（5）其他银行需要的资料。</w:t>
      </w:r>
    </w:p>
    <w:p w:rsidR="00E00F55" w:rsidRDefault="00E00F55" w:rsidP="00B573F1">
      <w:pPr>
        <w:ind w:firstLineChars="200" w:firstLine="460"/>
        <w:rPr>
          <w:rFonts w:ascii="宋体" w:hAnsi="宋体"/>
          <w:spacing w:val="10"/>
        </w:rPr>
      </w:pPr>
      <w:r>
        <w:rPr>
          <w:rFonts w:ascii="宋体" w:hAnsi="宋体" w:hint="eastAsia"/>
          <w:spacing w:val="10"/>
        </w:rPr>
        <w:t>（二）兑付和税收</w:t>
      </w:r>
    </w:p>
    <w:p w:rsidR="00E00F55" w:rsidRDefault="00E00F55" w:rsidP="00B573F1">
      <w:pPr>
        <w:ind w:firstLineChars="200" w:firstLine="460"/>
        <w:rPr>
          <w:rFonts w:ascii="宋体" w:hAnsi="宋体"/>
          <w:spacing w:val="10"/>
        </w:rPr>
      </w:pPr>
      <w:r>
        <w:rPr>
          <w:rFonts w:ascii="宋体" w:hAnsi="宋体" w:hint="eastAsia"/>
          <w:spacing w:val="10"/>
        </w:rPr>
        <w:t>1．提前终止权的行使：本理财产品发生提前终止时，银行将于该理财产品提前终止日前3个工作日在银行各营业网点、官方网站（</w:t>
      </w:r>
      <w:r>
        <w:rPr>
          <w:rFonts w:ascii="宋体" w:hAnsi="宋体" w:hint="eastAsia"/>
          <w:szCs w:val="21"/>
        </w:rPr>
        <w:t>www.rgrcb.com</w:t>
      </w:r>
      <w:r>
        <w:rPr>
          <w:rFonts w:ascii="宋体" w:hAnsi="宋体" w:hint="eastAsia"/>
          <w:spacing w:val="10"/>
        </w:rPr>
        <w:t>）发布提前终止公告，通知投资人兑付本理财产品，并按约定将可兑付款项按理财产品协议书规定的要求划入投资人授权指定账户。</w:t>
      </w:r>
    </w:p>
    <w:p w:rsidR="00E00F55" w:rsidRDefault="00E00F55" w:rsidP="00B573F1">
      <w:pPr>
        <w:ind w:firstLineChars="200" w:firstLine="460"/>
        <w:rPr>
          <w:rFonts w:ascii="宋体" w:hAnsi="宋体"/>
          <w:spacing w:val="10"/>
        </w:rPr>
      </w:pPr>
      <w:r>
        <w:rPr>
          <w:rFonts w:ascii="宋体" w:hAnsi="宋体" w:hint="eastAsia"/>
          <w:spacing w:val="10"/>
        </w:rPr>
        <w:t>2．到期兑付：银行将于实际到期日按协议书规定的要求划入投资人授权指定账户。</w:t>
      </w:r>
    </w:p>
    <w:p w:rsidR="00E00F55" w:rsidRDefault="00E00F55" w:rsidP="00B573F1">
      <w:pPr>
        <w:ind w:firstLineChars="200" w:firstLine="460"/>
        <w:rPr>
          <w:rFonts w:ascii="宋体" w:hAnsi="宋体"/>
          <w:spacing w:val="10"/>
        </w:rPr>
      </w:pPr>
      <w:r>
        <w:rPr>
          <w:rFonts w:ascii="宋体" w:hAnsi="宋体" w:hint="eastAsia"/>
          <w:spacing w:val="10"/>
        </w:rPr>
        <w:t>3．税收：银行将根据本理财产品的性质执行国家有关法律、法规、规章、政策等对代扣代缴税费的相关规定。在没有明文规定的情况下，银行将遵循市场惯例进行操作。</w:t>
      </w:r>
    </w:p>
    <w:p w:rsidR="00E00F55" w:rsidRDefault="00E00F55" w:rsidP="00B573F1">
      <w:pPr>
        <w:pStyle w:val="a8"/>
        <w:widowControl w:val="0"/>
        <w:snapToGrid w:val="0"/>
        <w:spacing w:before="0" w:after="0" w:line="240" w:lineRule="auto"/>
        <w:ind w:firstLineChars="200" w:firstLine="482"/>
        <w:jc w:val="both"/>
        <w:rPr>
          <w:rFonts w:ascii="宋体" w:hAnsi="宋体"/>
          <w:b/>
        </w:rPr>
      </w:pPr>
      <w:r>
        <w:rPr>
          <w:rFonts w:ascii="宋体" w:hAnsi="宋体" w:hint="eastAsia"/>
          <w:b/>
        </w:rPr>
        <w:t>第八条  重要提示</w:t>
      </w:r>
    </w:p>
    <w:p w:rsidR="00E00F55" w:rsidRDefault="00E00F55" w:rsidP="00B573F1">
      <w:pPr>
        <w:ind w:firstLineChars="200" w:firstLine="422"/>
        <w:rPr>
          <w:rFonts w:ascii="宋体" w:hAnsi="宋体"/>
          <w:b/>
          <w:bCs/>
          <w:spacing w:val="10"/>
          <w:szCs w:val="21"/>
        </w:rPr>
      </w:pPr>
      <w:r>
        <w:rPr>
          <w:rFonts w:hint="eastAsia"/>
          <w:b/>
          <w:bCs/>
          <w:szCs w:val="21"/>
        </w:rPr>
        <w:t>本理财产品是</w:t>
      </w:r>
      <w:r>
        <w:rPr>
          <w:rFonts w:ascii="宋体" w:hAnsi="宋体" w:hint="eastAsia"/>
          <w:b/>
          <w:bCs/>
          <w:szCs w:val="21"/>
          <w:u w:val="single"/>
        </w:rPr>
        <w:t>非保本浮动收益型</w:t>
      </w:r>
      <w:r>
        <w:rPr>
          <w:rFonts w:hint="eastAsia"/>
          <w:b/>
          <w:bCs/>
          <w:szCs w:val="21"/>
        </w:rPr>
        <w:t>理财产品，您的本金与收益可能会因市场变动而蒙受重大损失，您应仔细阅读理财产品风险揭示书、理财产品说明书、投资人权益须知和理财产品协议条款；</w:t>
      </w:r>
      <w:r>
        <w:rPr>
          <w:rFonts w:ascii="宋体" w:hAnsi="宋体" w:hint="eastAsia"/>
          <w:b/>
          <w:bCs/>
          <w:spacing w:val="10"/>
          <w:szCs w:val="21"/>
        </w:rPr>
        <w:t>本理财产品</w:t>
      </w:r>
      <w:r>
        <w:rPr>
          <w:rFonts w:ascii="宋体" w:hAnsi="宋体" w:hint="eastAsia"/>
          <w:b/>
          <w:bCs/>
          <w:szCs w:val="21"/>
        </w:rPr>
        <w:t>最终收益率的实现将视市场情况等因素而定，</w:t>
      </w:r>
      <w:r>
        <w:rPr>
          <w:rFonts w:ascii="宋体" w:hAnsi="宋体" w:hint="eastAsia"/>
          <w:b/>
          <w:bCs/>
          <w:spacing w:val="10"/>
          <w:szCs w:val="21"/>
        </w:rPr>
        <w:t>您应该充分认识本产品的投资风险，</w:t>
      </w:r>
      <w:r>
        <w:rPr>
          <w:rFonts w:ascii="宋体" w:hAnsi="宋体" w:hint="eastAsia"/>
          <w:b/>
          <w:bCs/>
          <w:szCs w:val="21"/>
        </w:rPr>
        <w:t>敬请仔细判别，</w:t>
      </w:r>
      <w:r>
        <w:rPr>
          <w:rFonts w:ascii="宋体" w:hAnsi="宋体" w:hint="eastAsia"/>
          <w:b/>
          <w:bCs/>
          <w:spacing w:val="10"/>
          <w:szCs w:val="21"/>
        </w:rPr>
        <w:t>谨慎投资。</w:t>
      </w:r>
    </w:p>
    <w:p w:rsidR="00E00F55" w:rsidRPr="00C73D31" w:rsidRDefault="00E00F55" w:rsidP="00C73D31">
      <w:pPr>
        <w:ind w:firstLineChars="200" w:firstLine="462"/>
        <w:rPr>
          <w:rFonts w:ascii="宋体" w:hAnsi="宋体"/>
          <w:b/>
          <w:spacing w:val="10"/>
          <w:szCs w:val="21"/>
        </w:rPr>
      </w:pPr>
      <w:r>
        <w:rPr>
          <w:rFonts w:ascii="宋体" w:hAnsi="宋体" w:hint="eastAsia"/>
          <w:b/>
          <w:spacing w:val="10"/>
          <w:szCs w:val="21"/>
        </w:rPr>
        <w:t>投资者</w:t>
      </w:r>
      <w:r w:rsidRPr="00642353">
        <w:rPr>
          <w:rFonts w:ascii="宋体" w:hAnsi="宋体" w:hint="eastAsia"/>
          <w:b/>
          <w:spacing w:val="10"/>
          <w:szCs w:val="21"/>
        </w:rPr>
        <w:t>可依据登记编码在“中国理财网（www.china-wealth.cn）”查询该产品信息。</w:t>
      </w:r>
    </w:p>
    <w:p w:rsidR="00E00F55" w:rsidRDefault="00E00F55" w:rsidP="00B573F1">
      <w:pPr>
        <w:ind w:firstLineChars="200" w:firstLine="460"/>
        <w:rPr>
          <w:rFonts w:ascii="宋体" w:hAnsi="宋体"/>
          <w:spacing w:val="10"/>
        </w:rPr>
      </w:pPr>
      <w:r>
        <w:rPr>
          <w:rFonts w:ascii="宋体" w:hAnsi="宋体" w:hint="eastAsia"/>
          <w:spacing w:val="10"/>
        </w:rPr>
        <w:t>本理财产品说明书为理财产品协议书不可分割之组成部分。</w:t>
      </w:r>
    </w:p>
    <w:p w:rsidR="00E00F55" w:rsidRDefault="00E00F55" w:rsidP="00B573F1">
      <w:pPr>
        <w:ind w:firstLineChars="200" w:firstLine="460"/>
        <w:rPr>
          <w:rFonts w:ascii="宋体" w:hAnsi="宋体"/>
          <w:spacing w:val="10"/>
        </w:rPr>
      </w:pPr>
      <w:r>
        <w:rPr>
          <w:rFonts w:ascii="宋体" w:hAnsi="宋体" w:hint="eastAsia"/>
          <w:spacing w:val="10"/>
        </w:rPr>
        <w:t>本理财产品不纳入银行开具存款证明受理产品范围。本理财产品说明书在法律许可的范围内由银行负责解释。若投资人对本理财说明书的内容有任何疑问或异议，请致电客户服务热线</w:t>
      </w:r>
      <w:r w:rsidRPr="00864A63">
        <w:rPr>
          <w:rFonts w:ascii="宋体" w:hAnsi="宋体" w:hint="eastAsia"/>
          <w:spacing w:val="10"/>
        </w:rPr>
        <w:t>0513-87616039、</w:t>
      </w:r>
      <w:r w:rsidRPr="00864A63">
        <w:rPr>
          <w:rFonts w:ascii="宋体" w:hAnsi="宋体"/>
          <w:spacing w:val="10"/>
        </w:rPr>
        <w:t>0513-87616180</w:t>
      </w:r>
      <w:r w:rsidRPr="00864A63">
        <w:rPr>
          <w:rFonts w:ascii="宋体" w:hAnsi="宋体" w:hint="eastAsia"/>
          <w:spacing w:val="10"/>
        </w:rPr>
        <w:t>、0513-8761</w:t>
      </w:r>
      <w:r w:rsidRPr="00864A63">
        <w:rPr>
          <w:rFonts w:ascii="宋体" w:hAnsi="宋体"/>
          <w:spacing w:val="10"/>
        </w:rPr>
        <w:t>6097</w:t>
      </w:r>
      <w:r>
        <w:rPr>
          <w:rFonts w:ascii="宋体" w:hAnsi="宋体" w:hint="eastAsia"/>
          <w:spacing w:val="10"/>
        </w:rPr>
        <w:t>咨询、投诉。</w:t>
      </w:r>
    </w:p>
    <w:sectPr w:rsidR="00E00F55" w:rsidSect="00E00F55">
      <w:footerReference w:type="even" r:id="rId8"/>
      <w:footerReference w:type="default" r:id="rId9"/>
      <w:type w:val="continuous"/>
      <w:pgSz w:w="11906" w:h="16838"/>
      <w:pgMar w:top="1134" w:right="1588" w:bottom="1134"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F4E" w:rsidRDefault="00D14F4E">
      <w:r>
        <w:separator/>
      </w:r>
    </w:p>
  </w:endnote>
  <w:endnote w:type="continuationSeparator" w:id="0">
    <w:p w:rsidR="00D14F4E" w:rsidRDefault="00D14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
    <w:altName w:val="黑体"/>
    <w:charset w:val="86"/>
    <w:family w:val="auto"/>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DD9" w:rsidRDefault="002A5DD9">
    <w:pPr>
      <w:pStyle w:val="a7"/>
      <w:framePr w:wrap="around" w:vAnchor="text" w:hAnchor="margin" w:xAlign="center" w:y="1"/>
      <w:rPr>
        <w:rStyle w:val="a6"/>
      </w:rPr>
    </w:pPr>
    <w:r>
      <w:fldChar w:fldCharType="begin"/>
    </w:r>
    <w:r>
      <w:rPr>
        <w:rStyle w:val="a6"/>
      </w:rPr>
      <w:instrText xml:space="preserve">PAGE  </w:instrText>
    </w:r>
    <w:r>
      <w:fldChar w:fldCharType="separate"/>
    </w:r>
    <w:r w:rsidR="001E4513">
      <w:rPr>
        <w:rStyle w:val="a6"/>
        <w:noProof/>
      </w:rPr>
      <w:t>1</w:t>
    </w:r>
    <w:r>
      <w:fldChar w:fldCharType="end"/>
    </w:r>
  </w:p>
  <w:p w:rsidR="002A5DD9" w:rsidRDefault="002A5DD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DD9" w:rsidRDefault="002A5DD9">
    <w:pPr>
      <w:pStyle w:val="a7"/>
      <w:framePr w:wrap="around" w:vAnchor="text" w:hAnchor="margin" w:xAlign="center" w:y="1"/>
      <w:rPr>
        <w:rStyle w:val="a6"/>
      </w:rPr>
    </w:pPr>
    <w:r>
      <w:fldChar w:fldCharType="begin"/>
    </w:r>
    <w:r>
      <w:rPr>
        <w:rStyle w:val="a6"/>
      </w:rPr>
      <w:instrText xml:space="preserve">PAGE  </w:instrText>
    </w:r>
    <w:r>
      <w:fldChar w:fldCharType="separate"/>
    </w:r>
    <w:r w:rsidR="00CC4E69">
      <w:rPr>
        <w:rStyle w:val="a6"/>
        <w:noProof/>
      </w:rPr>
      <w:t>1</w:t>
    </w:r>
    <w:r>
      <w:fldChar w:fldCharType="end"/>
    </w:r>
  </w:p>
  <w:p w:rsidR="002A5DD9" w:rsidRDefault="002A5D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F4E" w:rsidRDefault="00D14F4E">
      <w:r>
        <w:separator/>
      </w:r>
    </w:p>
  </w:footnote>
  <w:footnote w:type="continuationSeparator" w:id="0">
    <w:p w:rsidR="00D14F4E" w:rsidRDefault="00D14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1"/>
    <w:multiLevelType w:val="multilevel"/>
    <w:tmpl w:val="00000001"/>
    <w:lvl w:ilvl="0">
      <w:start w:val="1"/>
      <w:numFmt w:val="chineseCountingThousand"/>
      <w:pStyle w:val="1"/>
      <w:suff w:val="space"/>
      <w:lvlText w:val="第%1章"/>
      <w:lvlJc w:val="left"/>
      <w:pPr>
        <w:ind w:left="170" w:hanging="170"/>
      </w:pPr>
      <w:rPr>
        <w:rFonts w:ascii="宋体" w:eastAsia="宋体" w:hAnsi="宋体" w:hint="eastAsia"/>
        <w:b/>
        <w:i w:val="0"/>
        <w:caps w:val="0"/>
        <w:strike w:val="0"/>
        <w:dstrike w:val="0"/>
        <w:outline w:val="0"/>
        <w:shadow w:val="0"/>
        <w:emboss w:val="0"/>
        <w:imprint w:val="0"/>
        <w:snapToGrid w:val="0"/>
        <w:vanish w:val="0"/>
        <w:color w:val="auto"/>
        <w:spacing w:val="0"/>
        <w:w w:val="100"/>
        <w:kern w:val="0"/>
        <w:position w:val="0"/>
        <w:sz w:val="28"/>
        <w:szCs w:val="28"/>
        <w:u w:val="none"/>
        <w:vertAlign w:val="baseline"/>
        <w:em w:val="none"/>
      </w:rPr>
    </w:lvl>
    <w:lvl w:ilvl="1">
      <w:start w:val="1"/>
      <w:numFmt w:val="none"/>
      <w:pStyle w:val="2"/>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1">
    <w:nsid w:val="00000007"/>
    <w:multiLevelType w:val="multilevel"/>
    <w:tmpl w:val="00000007"/>
    <w:lvl w:ilvl="0">
      <w:start w:val="5"/>
      <w:numFmt w:val="bullet"/>
      <w:pStyle w:val="CharCharCharCharCharCharCharCharChar"/>
      <w:lvlText w:val="□"/>
      <w:lvlJc w:val="left"/>
      <w:pPr>
        <w:tabs>
          <w:tab w:val="num" w:pos="360"/>
        </w:tabs>
        <w:ind w:left="360" w:hanging="360"/>
      </w:pPr>
      <w:rPr>
        <w:rFonts w:ascii="Times New Roman" w:eastAsia="黑体" w:hAnsi="Times New Roman" w:cs="Times New Roman"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2876"/>
    <w:rsid w:val="000058F2"/>
    <w:rsid w:val="00027340"/>
    <w:rsid w:val="0005319A"/>
    <w:rsid w:val="000542A6"/>
    <w:rsid w:val="00072E45"/>
    <w:rsid w:val="000855FA"/>
    <w:rsid w:val="00086ACA"/>
    <w:rsid w:val="000E295B"/>
    <w:rsid w:val="000E5F35"/>
    <w:rsid w:val="000E6556"/>
    <w:rsid w:val="000F0161"/>
    <w:rsid w:val="0010764F"/>
    <w:rsid w:val="00124E6A"/>
    <w:rsid w:val="00127111"/>
    <w:rsid w:val="00147B37"/>
    <w:rsid w:val="00150038"/>
    <w:rsid w:val="00172A27"/>
    <w:rsid w:val="001742CE"/>
    <w:rsid w:val="001747D9"/>
    <w:rsid w:val="001862E3"/>
    <w:rsid w:val="0019161A"/>
    <w:rsid w:val="001971CD"/>
    <w:rsid w:val="001E4513"/>
    <w:rsid w:val="002045DB"/>
    <w:rsid w:val="002073C3"/>
    <w:rsid w:val="002172DA"/>
    <w:rsid w:val="00231A08"/>
    <w:rsid w:val="00292BE8"/>
    <w:rsid w:val="002A5239"/>
    <w:rsid w:val="002A5DD9"/>
    <w:rsid w:val="002C3415"/>
    <w:rsid w:val="002E2A07"/>
    <w:rsid w:val="002E30A0"/>
    <w:rsid w:val="002E5978"/>
    <w:rsid w:val="002F4C07"/>
    <w:rsid w:val="00303EA1"/>
    <w:rsid w:val="00314EB9"/>
    <w:rsid w:val="00331E0A"/>
    <w:rsid w:val="00337DB8"/>
    <w:rsid w:val="00340D52"/>
    <w:rsid w:val="0034407C"/>
    <w:rsid w:val="00351F4A"/>
    <w:rsid w:val="003537C6"/>
    <w:rsid w:val="00354A1D"/>
    <w:rsid w:val="003715B4"/>
    <w:rsid w:val="003725FA"/>
    <w:rsid w:val="003753B3"/>
    <w:rsid w:val="003768F7"/>
    <w:rsid w:val="00384350"/>
    <w:rsid w:val="00392149"/>
    <w:rsid w:val="003A5995"/>
    <w:rsid w:val="003A5DC4"/>
    <w:rsid w:val="003A61BE"/>
    <w:rsid w:val="003C1DE8"/>
    <w:rsid w:val="003E1530"/>
    <w:rsid w:val="003E2DB5"/>
    <w:rsid w:val="003E3CD2"/>
    <w:rsid w:val="003E5848"/>
    <w:rsid w:val="00412A4B"/>
    <w:rsid w:val="004234EC"/>
    <w:rsid w:val="004330B4"/>
    <w:rsid w:val="00444FFE"/>
    <w:rsid w:val="00457556"/>
    <w:rsid w:val="00464172"/>
    <w:rsid w:val="004757C4"/>
    <w:rsid w:val="00480B67"/>
    <w:rsid w:val="00483E45"/>
    <w:rsid w:val="00486371"/>
    <w:rsid w:val="0049104A"/>
    <w:rsid w:val="00493C0F"/>
    <w:rsid w:val="004A0FBB"/>
    <w:rsid w:val="004B1F86"/>
    <w:rsid w:val="004B5948"/>
    <w:rsid w:val="004D048E"/>
    <w:rsid w:val="004D3BBD"/>
    <w:rsid w:val="004E4891"/>
    <w:rsid w:val="004E4DA1"/>
    <w:rsid w:val="00505D06"/>
    <w:rsid w:val="0055558E"/>
    <w:rsid w:val="005D1C14"/>
    <w:rsid w:val="005E374D"/>
    <w:rsid w:val="005E40C1"/>
    <w:rsid w:val="005F6FCE"/>
    <w:rsid w:val="00600BCD"/>
    <w:rsid w:val="00611F0C"/>
    <w:rsid w:val="00611FF8"/>
    <w:rsid w:val="00625112"/>
    <w:rsid w:val="00650692"/>
    <w:rsid w:val="00682655"/>
    <w:rsid w:val="00697614"/>
    <w:rsid w:val="006B1857"/>
    <w:rsid w:val="006B7D88"/>
    <w:rsid w:val="006D5C1A"/>
    <w:rsid w:val="006E1637"/>
    <w:rsid w:val="006E7335"/>
    <w:rsid w:val="00715C25"/>
    <w:rsid w:val="00722CCB"/>
    <w:rsid w:val="00743B87"/>
    <w:rsid w:val="00746727"/>
    <w:rsid w:val="00760645"/>
    <w:rsid w:val="0078139E"/>
    <w:rsid w:val="00792417"/>
    <w:rsid w:val="0079531F"/>
    <w:rsid w:val="007F5345"/>
    <w:rsid w:val="007F7C30"/>
    <w:rsid w:val="00803008"/>
    <w:rsid w:val="00803D3E"/>
    <w:rsid w:val="0084579E"/>
    <w:rsid w:val="00856DB9"/>
    <w:rsid w:val="00872BD6"/>
    <w:rsid w:val="00874C71"/>
    <w:rsid w:val="008831C7"/>
    <w:rsid w:val="008A29DB"/>
    <w:rsid w:val="008B0179"/>
    <w:rsid w:val="008B6633"/>
    <w:rsid w:val="008C5D0F"/>
    <w:rsid w:val="008D03B0"/>
    <w:rsid w:val="008D2B2C"/>
    <w:rsid w:val="008E1F01"/>
    <w:rsid w:val="008F2E9C"/>
    <w:rsid w:val="00901739"/>
    <w:rsid w:val="0090528F"/>
    <w:rsid w:val="009140FE"/>
    <w:rsid w:val="009259E4"/>
    <w:rsid w:val="009303AC"/>
    <w:rsid w:val="009373C5"/>
    <w:rsid w:val="009418D9"/>
    <w:rsid w:val="00941FB8"/>
    <w:rsid w:val="00950BD4"/>
    <w:rsid w:val="00952730"/>
    <w:rsid w:val="00976FA4"/>
    <w:rsid w:val="00977566"/>
    <w:rsid w:val="009862F2"/>
    <w:rsid w:val="009966FB"/>
    <w:rsid w:val="009B556A"/>
    <w:rsid w:val="009F6781"/>
    <w:rsid w:val="00A0125F"/>
    <w:rsid w:val="00A03042"/>
    <w:rsid w:val="00A21A22"/>
    <w:rsid w:val="00A220B3"/>
    <w:rsid w:val="00A277B5"/>
    <w:rsid w:val="00A31DB8"/>
    <w:rsid w:val="00A47D48"/>
    <w:rsid w:val="00A51C39"/>
    <w:rsid w:val="00A56653"/>
    <w:rsid w:val="00A61985"/>
    <w:rsid w:val="00A63B97"/>
    <w:rsid w:val="00A82370"/>
    <w:rsid w:val="00A83563"/>
    <w:rsid w:val="00A94B78"/>
    <w:rsid w:val="00A950A1"/>
    <w:rsid w:val="00A97EFD"/>
    <w:rsid w:val="00AA2C3F"/>
    <w:rsid w:val="00AB3AA2"/>
    <w:rsid w:val="00AC235A"/>
    <w:rsid w:val="00AC644C"/>
    <w:rsid w:val="00AC7999"/>
    <w:rsid w:val="00AF044C"/>
    <w:rsid w:val="00AF1433"/>
    <w:rsid w:val="00AF4032"/>
    <w:rsid w:val="00AF68B8"/>
    <w:rsid w:val="00B01292"/>
    <w:rsid w:val="00B046FC"/>
    <w:rsid w:val="00B15ABE"/>
    <w:rsid w:val="00B21574"/>
    <w:rsid w:val="00B52059"/>
    <w:rsid w:val="00B55B78"/>
    <w:rsid w:val="00B573F1"/>
    <w:rsid w:val="00B671DF"/>
    <w:rsid w:val="00B76C9F"/>
    <w:rsid w:val="00B77F8D"/>
    <w:rsid w:val="00B87375"/>
    <w:rsid w:val="00BA0E46"/>
    <w:rsid w:val="00C70AC9"/>
    <w:rsid w:val="00C73D31"/>
    <w:rsid w:val="00C8269E"/>
    <w:rsid w:val="00CA08C4"/>
    <w:rsid w:val="00CB1094"/>
    <w:rsid w:val="00CC28CD"/>
    <w:rsid w:val="00CC4E69"/>
    <w:rsid w:val="00CD3594"/>
    <w:rsid w:val="00CD6C98"/>
    <w:rsid w:val="00CE0283"/>
    <w:rsid w:val="00CF2B83"/>
    <w:rsid w:val="00CF33FA"/>
    <w:rsid w:val="00CF4738"/>
    <w:rsid w:val="00D14F4E"/>
    <w:rsid w:val="00D21637"/>
    <w:rsid w:val="00D218A2"/>
    <w:rsid w:val="00D30D9C"/>
    <w:rsid w:val="00D3386A"/>
    <w:rsid w:val="00D36951"/>
    <w:rsid w:val="00D3750C"/>
    <w:rsid w:val="00D4072E"/>
    <w:rsid w:val="00D55DAC"/>
    <w:rsid w:val="00D7014D"/>
    <w:rsid w:val="00D73AE6"/>
    <w:rsid w:val="00D74E60"/>
    <w:rsid w:val="00D91CF0"/>
    <w:rsid w:val="00D94749"/>
    <w:rsid w:val="00DA6918"/>
    <w:rsid w:val="00DA7501"/>
    <w:rsid w:val="00DB0442"/>
    <w:rsid w:val="00DB1CEA"/>
    <w:rsid w:val="00DB4D98"/>
    <w:rsid w:val="00DB7F65"/>
    <w:rsid w:val="00DD1212"/>
    <w:rsid w:val="00DD19D3"/>
    <w:rsid w:val="00DE079B"/>
    <w:rsid w:val="00DE1518"/>
    <w:rsid w:val="00DE2F63"/>
    <w:rsid w:val="00E00F55"/>
    <w:rsid w:val="00E03056"/>
    <w:rsid w:val="00E06EAE"/>
    <w:rsid w:val="00E10EB8"/>
    <w:rsid w:val="00E341BC"/>
    <w:rsid w:val="00E362B9"/>
    <w:rsid w:val="00E56BB9"/>
    <w:rsid w:val="00E573EB"/>
    <w:rsid w:val="00E73B99"/>
    <w:rsid w:val="00EA0580"/>
    <w:rsid w:val="00EA502D"/>
    <w:rsid w:val="00ED20BA"/>
    <w:rsid w:val="00EE1691"/>
    <w:rsid w:val="00EE18F3"/>
    <w:rsid w:val="00EE3901"/>
    <w:rsid w:val="00EF069A"/>
    <w:rsid w:val="00EF4E70"/>
    <w:rsid w:val="00EF78F3"/>
    <w:rsid w:val="00F00AC8"/>
    <w:rsid w:val="00F04D46"/>
    <w:rsid w:val="00F05D4F"/>
    <w:rsid w:val="00F0764C"/>
    <w:rsid w:val="00F13184"/>
    <w:rsid w:val="00F50F78"/>
    <w:rsid w:val="00F53CE2"/>
    <w:rsid w:val="00F63FB5"/>
    <w:rsid w:val="00F67EEA"/>
    <w:rsid w:val="00F86382"/>
    <w:rsid w:val="00FB2175"/>
    <w:rsid w:val="00FC2622"/>
    <w:rsid w:val="00FC443A"/>
    <w:rsid w:val="00FC7BBA"/>
    <w:rsid w:val="00FD3139"/>
    <w:rsid w:val="00FD62C3"/>
    <w:rsid w:val="00FE0870"/>
    <w:rsid w:val="00FE32FD"/>
    <w:rsid w:val="00FF5460"/>
    <w:rsid w:val="0F23048F"/>
    <w:rsid w:val="11720EF4"/>
    <w:rsid w:val="126175F5"/>
    <w:rsid w:val="3067032E"/>
    <w:rsid w:val="40534AE9"/>
    <w:rsid w:val="424B7FA5"/>
    <w:rsid w:val="575E7CDA"/>
    <w:rsid w:val="5D783BB2"/>
    <w:rsid w:val="69176AEE"/>
    <w:rsid w:val="77B41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56844181"/>
  <w15:chartTrackingRefBased/>
  <w15:docId w15:val="{B18F7BE1-8403-4BF4-B0DD-15A99C3F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widowControl/>
      <w:numPr>
        <w:numId w:val="1"/>
      </w:numPr>
      <w:spacing w:after="240" w:line="240" w:lineRule="atLeast"/>
      <w:jc w:val="left"/>
      <w:outlineLvl w:val="0"/>
    </w:pPr>
    <w:rPr>
      <w:rFonts w:ascii="Arial" w:hAnsi="Arial"/>
      <w:b/>
      <w:spacing w:val="-5"/>
      <w:kern w:val="0"/>
      <w:sz w:val="40"/>
      <w:szCs w:val="20"/>
      <w:lang w:eastAsia="en-US"/>
    </w:rPr>
  </w:style>
  <w:style w:type="paragraph" w:styleId="2">
    <w:name w:val="heading 2"/>
    <w:basedOn w:val="a"/>
    <w:next w:val="a"/>
    <w:qFormat/>
    <w:pPr>
      <w:keepNext/>
      <w:widowControl/>
      <w:numPr>
        <w:ilvl w:val="1"/>
        <w:numId w:val="1"/>
      </w:numPr>
      <w:spacing w:before="240" w:after="240" w:line="240" w:lineRule="atLeast"/>
      <w:jc w:val="left"/>
      <w:outlineLvl w:val="1"/>
    </w:pPr>
    <w:rPr>
      <w:rFonts w:ascii="Arial" w:hAnsi="Arial"/>
      <w:b/>
      <w:spacing w:val="-5"/>
      <w:kern w:val="0"/>
      <w:sz w:val="32"/>
      <w:szCs w:val="20"/>
      <w:lang w:eastAsia="en-US"/>
    </w:rPr>
  </w:style>
  <w:style w:type="paragraph" w:styleId="3">
    <w:name w:val="heading 3"/>
    <w:basedOn w:val="2"/>
    <w:next w:val="a"/>
    <w:qFormat/>
    <w:pPr>
      <w:numPr>
        <w:ilvl w:val="2"/>
      </w:numPr>
      <w:outlineLvl w:val="2"/>
    </w:pPr>
    <w:rPr>
      <w:i/>
      <w:sz w:val="24"/>
    </w:rPr>
  </w:style>
  <w:style w:type="paragraph" w:styleId="4">
    <w:name w:val="heading 4"/>
    <w:basedOn w:val="3"/>
    <w:next w:val="a"/>
    <w:qFormat/>
    <w:pPr>
      <w:numPr>
        <w:ilvl w:val="3"/>
      </w:numPr>
      <w:spacing w:after="60"/>
      <w:outlineLvl w:val="3"/>
    </w:pPr>
    <w:rPr>
      <w:rFonts w:ascii="Times New Roman" w:hAnsi="Times New Roman"/>
    </w:rPr>
  </w:style>
  <w:style w:type="paragraph" w:styleId="5">
    <w:name w:val="heading 5"/>
    <w:basedOn w:val="a"/>
    <w:next w:val="a"/>
    <w:qFormat/>
    <w:pPr>
      <w:widowControl/>
      <w:numPr>
        <w:ilvl w:val="4"/>
        <w:numId w:val="1"/>
      </w:numPr>
      <w:spacing w:before="240" w:after="60" w:line="240" w:lineRule="atLeast"/>
      <w:jc w:val="left"/>
      <w:outlineLvl w:val="4"/>
    </w:pPr>
    <w:rPr>
      <w:rFonts w:ascii="Arial" w:hAnsi="Arial"/>
      <w:spacing w:val="-5"/>
      <w:kern w:val="0"/>
      <w:sz w:val="22"/>
      <w:szCs w:val="20"/>
      <w:lang w:eastAsia="en-US"/>
    </w:rPr>
  </w:style>
  <w:style w:type="paragraph" w:styleId="6">
    <w:name w:val="heading 6"/>
    <w:basedOn w:val="a"/>
    <w:next w:val="a"/>
    <w:qFormat/>
    <w:pPr>
      <w:widowControl/>
      <w:numPr>
        <w:ilvl w:val="5"/>
        <w:numId w:val="1"/>
      </w:numPr>
      <w:spacing w:before="240" w:after="60" w:line="240" w:lineRule="atLeast"/>
      <w:jc w:val="left"/>
      <w:outlineLvl w:val="5"/>
    </w:pPr>
    <w:rPr>
      <w:rFonts w:ascii="Arial" w:hAnsi="Arial"/>
      <w:i/>
      <w:spacing w:val="-5"/>
      <w:kern w:val="0"/>
      <w:sz w:val="22"/>
      <w:szCs w:val="20"/>
      <w:lang w:eastAsia="en-US"/>
    </w:rPr>
  </w:style>
  <w:style w:type="paragraph" w:styleId="7">
    <w:name w:val="heading 7"/>
    <w:basedOn w:val="a"/>
    <w:next w:val="a"/>
    <w:qFormat/>
    <w:pPr>
      <w:widowControl/>
      <w:numPr>
        <w:ilvl w:val="6"/>
        <w:numId w:val="1"/>
      </w:numPr>
      <w:spacing w:before="240" w:after="60" w:line="240" w:lineRule="atLeast"/>
      <w:jc w:val="left"/>
      <w:outlineLvl w:val="6"/>
    </w:pPr>
    <w:rPr>
      <w:rFonts w:ascii="Arial" w:hAnsi="Arial"/>
      <w:spacing w:val="-5"/>
      <w:kern w:val="0"/>
      <w:sz w:val="20"/>
      <w:szCs w:val="20"/>
      <w:lang w:eastAsia="en-US"/>
    </w:rPr>
  </w:style>
  <w:style w:type="paragraph" w:styleId="8">
    <w:name w:val="heading 8"/>
    <w:basedOn w:val="a"/>
    <w:next w:val="a"/>
    <w:qFormat/>
    <w:pPr>
      <w:widowControl/>
      <w:numPr>
        <w:ilvl w:val="7"/>
        <w:numId w:val="1"/>
      </w:numPr>
      <w:spacing w:before="240" w:after="60" w:line="240" w:lineRule="atLeast"/>
      <w:jc w:val="left"/>
      <w:outlineLvl w:val="7"/>
    </w:pPr>
    <w:rPr>
      <w:rFonts w:ascii="Arial" w:hAnsi="Arial"/>
      <w:i/>
      <w:spacing w:val="-5"/>
      <w:kern w:val="0"/>
      <w:sz w:val="20"/>
      <w:szCs w:val="20"/>
      <w:lang w:eastAsia="en-US"/>
    </w:rPr>
  </w:style>
  <w:style w:type="paragraph" w:styleId="9">
    <w:name w:val="heading 9"/>
    <w:basedOn w:val="a"/>
    <w:next w:val="a"/>
    <w:qFormat/>
    <w:pPr>
      <w:widowControl/>
      <w:numPr>
        <w:ilvl w:val="8"/>
        <w:numId w:val="1"/>
      </w:numPr>
      <w:spacing w:before="240" w:after="60" w:line="240" w:lineRule="atLeast"/>
      <w:jc w:val="left"/>
      <w:outlineLvl w:val="8"/>
    </w:pPr>
    <w:rPr>
      <w:rFonts w:ascii="Arial" w:hAnsi="Arial"/>
      <w:i/>
      <w:spacing w:val="-5"/>
      <w:kern w:val="0"/>
      <w:sz w:val="1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uiPriority w:val="99"/>
    <w:semiHidden/>
    <w:rPr>
      <w:kern w:val="2"/>
      <w:sz w:val="18"/>
      <w:szCs w:val="18"/>
    </w:rPr>
  </w:style>
  <w:style w:type="character" w:styleId="a5">
    <w:name w:val="Hyperlink"/>
    <w:rPr>
      <w:color w:val="0000FF"/>
      <w:u w:val="single"/>
    </w:rPr>
  </w:style>
  <w:style w:type="character" w:styleId="a6">
    <w:name w:val="page number"/>
    <w:basedOn w:val="a0"/>
  </w:style>
  <w:style w:type="paragraph" w:styleId="a7">
    <w:name w:val="footer"/>
    <w:basedOn w:val="a"/>
    <w:pPr>
      <w:tabs>
        <w:tab w:val="center" w:pos="4153"/>
        <w:tab w:val="right" w:pos="8306"/>
      </w:tabs>
      <w:snapToGrid w:val="0"/>
      <w:jc w:val="left"/>
    </w:pPr>
    <w:rPr>
      <w:sz w:val="18"/>
      <w:szCs w:val="18"/>
    </w:rPr>
  </w:style>
  <w:style w:type="paragraph" w:styleId="a8">
    <w:name w:val="Normal (Web)"/>
    <w:basedOn w:val="a"/>
    <w:pPr>
      <w:widowControl/>
      <w:spacing w:before="102" w:after="102" w:line="1099" w:lineRule="atLeast"/>
      <w:ind w:firstLine="419"/>
      <w:jc w:val="left"/>
      <w:textAlignment w:val="baseline"/>
    </w:pPr>
    <w:rPr>
      <w:color w:val="000000"/>
      <w:kern w:val="0"/>
      <w:sz w:val="24"/>
      <w:szCs w:val="20"/>
      <w:u w:color="000000"/>
    </w:rPr>
  </w:style>
  <w:style w:type="paragraph" w:styleId="a4">
    <w:name w:val="header"/>
    <w:basedOn w:val="a"/>
    <w:link w:val="a3"/>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Default">
    <w:name w:val="Default"/>
    <w:pPr>
      <w:widowControl w:val="0"/>
      <w:autoSpaceDE w:val="0"/>
      <w:autoSpaceDN w:val="0"/>
      <w:adjustRightInd w:val="0"/>
    </w:pPr>
    <w:rPr>
      <w:rFonts w:ascii="...." w:eastAsia="...."/>
      <w:color w:val="000000"/>
      <w:sz w:val="24"/>
      <w:szCs w:val="24"/>
    </w:rPr>
  </w:style>
  <w:style w:type="paragraph" w:styleId="a9">
    <w:name w:val="annotation text"/>
    <w:basedOn w:val="a"/>
    <w:pPr>
      <w:jc w:val="left"/>
    </w:pPr>
  </w:style>
  <w:style w:type="paragraph" w:customStyle="1" w:styleId="CharCharCharChar">
    <w:name w:val="Char Char Char Char"/>
    <w:basedOn w:val="a"/>
  </w:style>
  <w:style w:type="paragraph" w:customStyle="1" w:styleId="CharCharCharCharCharCharCharCharChar">
    <w:name w:val="Char Char Char Char Char Char Char Char Char"/>
    <w:basedOn w:val="a"/>
    <w:pPr>
      <w:numPr>
        <w:numId w:val="2"/>
      </w:numPr>
      <w:tabs>
        <w:tab w:val="clear" w:pos="360"/>
        <w:tab w:val="left" w:pos="169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94A4B-F330-4A11-BBB4-5B0868577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622</Words>
  <Characters>3549</Characters>
  <Application>Microsoft Office Word</Application>
  <DocSecurity>0</DocSecurity>
  <PresentationFormat/>
  <Lines>29</Lines>
  <Paragraphs>8</Paragraphs>
  <Slides>0</Slides>
  <Notes>0</Notes>
  <HiddenSlides>0</HiddenSlides>
  <MMClips>0</MMClips>
  <ScaleCrop>false</ScaleCrop>
  <Manager/>
  <Company>yixin</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理财产品说明书</dc:title>
  <dc:subject/>
  <dc:creator>ls</dc:creator>
  <cp:keywords/>
  <dc:description/>
  <cp:lastModifiedBy>许峰</cp:lastModifiedBy>
  <cp:revision>3</cp:revision>
  <cp:lastPrinted>2015-01-22T23:59:00Z</cp:lastPrinted>
  <dcterms:created xsi:type="dcterms:W3CDTF">2021-06-30T01:05:00Z</dcterms:created>
  <dcterms:modified xsi:type="dcterms:W3CDTF">2021-06-30T01:06:00Z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